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drawings/drawing2.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3.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4.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D17" w:rsidRPr="009F56B0" w:rsidRDefault="006B0D17" w:rsidP="006B0D17">
      <w:pPr>
        <w:ind w:left="567" w:right="758"/>
        <w:jc w:val="center"/>
        <w:rPr>
          <w:b/>
          <w:sz w:val="28"/>
          <w:szCs w:val="28"/>
        </w:rPr>
      </w:pPr>
      <w:r w:rsidRPr="009F56B0">
        <w:rPr>
          <w:b/>
          <w:sz w:val="28"/>
          <w:szCs w:val="28"/>
        </w:rPr>
        <w:t>Доклад за влиянието на атмосферния въздух върху здравето на населението в община Видин за 20</w:t>
      </w:r>
      <w:r w:rsidRPr="009F56B0">
        <w:rPr>
          <w:b/>
          <w:sz w:val="28"/>
          <w:szCs w:val="28"/>
          <w:lang w:val="en-US"/>
        </w:rPr>
        <w:t>22</w:t>
      </w:r>
      <w:r w:rsidRPr="009F56B0">
        <w:rPr>
          <w:b/>
          <w:sz w:val="28"/>
          <w:szCs w:val="28"/>
        </w:rPr>
        <w:t xml:space="preserve"> година.</w:t>
      </w:r>
    </w:p>
    <w:p w:rsidR="006B0D17" w:rsidRPr="009F56B0" w:rsidRDefault="006B0D17" w:rsidP="006B0D17">
      <w:pPr>
        <w:ind w:firstLine="720"/>
        <w:jc w:val="center"/>
      </w:pPr>
    </w:p>
    <w:p w:rsidR="006B0D17" w:rsidRPr="009F56B0" w:rsidRDefault="006B0D17" w:rsidP="006B0D17">
      <w:pPr>
        <w:tabs>
          <w:tab w:val="left" w:pos="142"/>
        </w:tabs>
        <w:jc w:val="both"/>
        <w:rPr>
          <w:b/>
          <w:i/>
          <w:u w:val="single"/>
        </w:rPr>
      </w:pPr>
      <w:r w:rsidRPr="009F56B0">
        <w:rPr>
          <w:b/>
          <w:i/>
          <w:u w:val="single"/>
        </w:rPr>
        <w:t>1.  Анализ на качеството на атмосферния въздух</w:t>
      </w:r>
    </w:p>
    <w:p w:rsidR="006B0D17" w:rsidRPr="009F56B0" w:rsidRDefault="006B0D17" w:rsidP="006B0D17">
      <w:pPr>
        <w:ind w:firstLine="720"/>
        <w:jc w:val="both"/>
      </w:pPr>
      <w:r w:rsidRPr="009F56B0">
        <w:t xml:space="preserve">Автоматичната измервателна станция (АИС) – Видин 2 е разположена в гр. Видин и се определя като пункт за мониторинг тип „градски фонов”. На територията контролирана от автоматична измервателна станция - Видин за </w:t>
      </w:r>
      <w:r w:rsidRPr="009F56B0">
        <w:rPr>
          <w:lang w:val="en-US"/>
        </w:rPr>
        <w:t>2022</w:t>
      </w:r>
      <w:r w:rsidRPr="009F56B0">
        <w:t xml:space="preserve"> г. е установено единствено превишение на праговите стойности за съдържание на фини </w:t>
      </w:r>
      <w:proofErr w:type="spellStart"/>
      <w:r w:rsidRPr="009F56B0">
        <w:t>прахови</w:t>
      </w:r>
      <w:proofErr w:type="spellEnd"/>
      <w:r w:rsidRPr="009F56B0">
        <w:t xml:space="preserve"> частици (ФПЧ</w:t>
      </w:r>
      <w:r w:rsidRPr="009F56B0">
        <w:rPr>
          <w:vertAlign w:val="subscript"/>
        </w:rPr>
        <w:t>10</w:t>
      </w:r>
      <w:r w:rsidRPr="009F56B0">
        <w:t>).</w:t>
      </w:r>
    </w:p>
    <w:p w:rsidR="006B0D17" w:rsidRPr="009F56B0" w:rsidRDefault="006B0D17" w:rsidP="006B0D17">
      <w:pPr>
        <w:jc w:val="both"/>
      </w:pPr>
      <w:r w:rsidRPr="009F56B0">
        <w:tab/>
        <w:t>Метеорологичните условия на територията на гр. Видин предпоставят сравнително добри условия на разсейване. Тихото време на територията на общината е 23.2</w:t>
      </w:r>
      <w:r w:rsidRPr="009F56B0">
        <w:rPr>
          <w:rFonts w:ascii="A4p" w:hAnsi="A4p"/>
        </w:rPr>
        <w:t>%</w:t>
      </w:r>
      <w:r w:rsidRPr="009F56B0">
        <w:t xml:space="preserve">, т.е. по-малко от една четвърт от времето през годината. Средногодишната скорост на вятъра е сравнително ниска – 2 м/сек., което предполага сравнително слаба </w:t>
      </w:r>
      <w:proofErr w:type="spellStart"/>
      <w:r w:rsidRPr="009F56B0">
        <w:t>турболенция</w:t>
      </w:r>
      <w:proofErr w:type="spellEnd"/>
      <w:r w:rsidRPr="009F56B0">
        <w:t xml:space="preserve"> на въздушните маси, а от там до слабо разсейване на замърсителите в атмосферата. Силните ветрове на територията на гр. Видин със скорост над 14 м/сек. се появяват от 9 до 19 дни в годината. Основният пренос на въздушни маси става от запад на изток (25.5</w:t>
      </w:r>
      <w:r w:rsidRPr="009F56B0">
        <w:rPr>
          <w:rFonts w:ascii="A4p" w:hAnsi="A4p"/>
        </w:rPr>
        <w:t xml:space="preserve">% </w:t>
      </w:r>
      <w:r w:rsidRPr="009F56B0">
        <w:t>от времето през годината) и от северозапад-югоизток (18.9</w:t>
      </w:r>
      <w:r w:rsidRPr="009F56B0">
        <w:rPr>
          <w:rFonts w:ascii="A4p" w:hAnsi="A4p"/>
        </w:rPr>
        <w:t>%</w:t>
      </w:r>
      <w:r w:rsidRPr="009F56B0">
        <w:t>).</w:t>
      </w:r>
    </w:p>
    <w:p w:rsidR="006B0D17" w:rsidRPr="009F56B0" w:rsidRDefault="006B0D17" w:rsidP="006B0D17">
      <w:pPr>
        <w:tabs>
          <w:tab w:val="left" w:pos="720"/>
        </w:tabs>
        <w:jc w:val="both"/>
      </w:pPr>
      <w:r w:rsidRPr="009F56B0">
        <w:t xml:space="preserve">            В близост до речни басейни се създават условия за възникване на температурни инверсии, които предизвикват задържане за по-продължително време на замърсителите в приземния слой на атмосферата. Тези инверсии са характерни най-вече за случите на безветрие („тихо време”), когато скоростта на вятъра е под 1 м/сек. </w:t>
      </w:r>
    </w:p>
    <w:p w:rsidR="006B0D17" w:rsidRPr="009F56B0" w:rsidRDefault="006B0D17" w:rsidP="006B0D17">
      <w:pPr>
        <w:jc w:val="both"/>
      </w:pPr>
      <w:r w:rsidRPr="009F56B0">
        <w:t xml:space="preserve">            Релефът на областта е равнинен с изключение на западната и южната част, който е хълмист с височина 120-200 м над морското равнище и предпоставя в голяма степен движението на въздушни маси, а с тях разпространението на замърсителите, изпускани от различните източници на замърсяване на атмосферния въздух. Релефът, преобладаващата посока и скорост на вятъра предпоставят сравнително добрата интензивност на разсейване на атмосферните замърсители.</w:t>
      </w:r>
    </w:p>
    <w:p w:rsidR="006B0D17" w:rsidRPr="009F56B0" w:rsidRDefault="006B0D17" w:rsidP="006B0D17">
      <w:pPr>
        <w:tabs>
          <w:tab w:val="left" w:pos="720"/>
        </w:tabs>
        <w:jc w:val="both"/>
      </w:pPr>
      <w:r w:rsidRPr="009F56B0">
        <w:t xml:space="preserve">            Валежният режим е от много съществено значение за естественото пречистване на атмосферния въздух. Летните валежи са обикновено кратковременни с висока интензивност, което води до порои. От друга страна, обаче, поройните дъждове предизвикват ерозия на почвения слой, с което след засушаване предпоставят емисии на прах.</w:t>
      </w:r>
    </w:p>
    <w:p w:rsidR="006B0D17" w:rsidRPr="009F56B0" w:rsidRDefault="006B0D17" w:rsidP="006B0D17">
      <w:pPr>
        <w:tabs>
          <w:tab w:val="left" w:pos="720"/>
        </w:tabs>
        <w:jc w:val="both"/>
      </w:pPr>
      <w:r w:rsidRPr="009F56B0">
        <w:t xml:space="preserve">            Мъглите са един от факторите, които водят до влошаване на разсейването на замърсителите. В района на гр. Видин те са характерни за периода с ниски температури (зимния период). Ако за периода април-септември броят на дните с мъгла е 12, то за периода октомври-март той е 47. До голяма степен влияние върху това оказва големият воден обект – река Дунав.</w:t>
      </w:r>
    </w:p>
    <w:p w:rsidR="006B0D17" w:rsidRPr="009F56B0" w:rsidRDefault="006B0D17" w:rsidP="006B0D17">
      <w:pPr>
        <w:tabs>
          <w:tab w:val="left" w:pos="720"/>
        </w:tabs>
        <w:jc w:val="both"/>
      </w:pPr>
      <w:r w:rsidRPr="009F56B0">
        <w:t xml:space="preserve">            Може да се заключи, че условията за разсейване на замърсителите на територията на гр. Видин не са най-добрите, особено през есенно-зимния сезон, когато е най-голям процентът на тихото време и броя на дните с мъгли.</w:t>
      </w:r>
    </w:p>
    <w:p w:rsidR="006B0D17" w:rsidRPr="009F56B0" w:rsidRDefault="006B0D17" w:rsidP="006B0D17">
      <w:pPr>
        <w:tabs>
          <w:tab w:val="left" w:pos="720"/>
        </w:tabs>
        <w:jc w:val="both"/>
      </w:pPr>
      <w:r w:rsidRPr="009F56B0">
        <w:rPr>
          <w:snapToGrid w:val="0"/>
        </w:rPr>
        <w:t xml:space="preserve">            </w:t>
      </w:r>
      <w:r w:rsidRPr="009F56B0">
        <w:t>Тъй като Регионалната лаборатория-Монтана е на пряко административно подчинение на Изпълнителната агенция по околна среда към Министерството на околната среда и водите, данните за състоянието на атмосферния въздух за АИС – Видин са взети от</w:t>
      </w:r>
      <w:r w:rsidRPr="009F56B0">
        <w:rPr>
          <w:sz w:val="20"/>
          <w:lang w:val="ru-RU"/>
        </w:rPr>
        <w:t xml:space="preserve"> </w:t>
      </w:r>
      <w:r w:rsidRPr="009F56B0">
        <w:t>Изпълнителната агенция по околна среда и РИОСВ-Монтана. От данните за качеството на атмосферния въздух за 202</w:t>
      </w:r>
      <w:r w:rsidRPr="009F56B0">
        <w:rPr>
          <w:lang w:val="en-US"/>
        </w:rPr>
        <w:t>2</w:t>
      </w:r>
      <w:r w:rsidRPr="009F56B0">
        <w:t xml:space="preserve"> г. се вижда, че през периода 01.01.202</w:t>
      </w:r>
      <w:r w:rsidRPr="009F56B0">
        <w:rPr>
          <w:lang w:val="en-US"/>
        </w:rPr>
        <w:t>2</w:t>
      </w:r>
      <w:r w:rsidRPr="009F56B0">
        <w:t>г. – 31.12.202</w:t>
      </w:r>
      <w:r w:rsidRPr="009F56B0">
        <w:rPr>
          <w:lang w:val="en-US"/>
        </w:rPr>
        <w:t>2</w:t>
      </w:r>
      <w:r w:rsidRPr="009F56B0">
        <w:t xml:space="preserve"> г. са отчетени </w:t>
      </w:r>
      <w:r w:rsidR="009F56B0" w:rsidRPr="009F56B0">
        <w:rPr>
          <w:lang w:val="ru-RU"/>
        </w:rPr>
        <w:t>361</w:t>
      </w:r>
      <w:r w:rsidRPr="009F56B0">
        <w:t xml:space="preserve"> </w:t>
      </w:r>
      <w:proofErr w:type="spellStart"/>
      <w:r w:rsidRPr="009F56B0">
        <w:t>средноденонощни</w:t>
      </w:r>
      <w:proofErr w:type="spellEnd"/>
      <w:r w:rsidRPr="009F56B0">
        <w:t xml:space="preserve"> данни за фини </w:t>
      </w:r>
      <w:proofErr w:type="spellStart"/>
      <w:r w:rsidRPr="009F56B0">
        <w:t>прахови</w:t>
      </w:r>
      <w:proofErr w:type="spellEnd"/>
      <w:r w:rsidRPr="009F56B0">
        <w:t xml:space="preserve"> частици (ФПЧ</w:t>
      </w:r>
      <w:r w:rsidRPr="009F56B0">
        <w:rPr>
          <w:vertAlign w:val="subscript"/>
        </w:rPr>
        <w:t>10</w:t>
      </w:r>
      <w:r w:rsidRPr="009F56B0">
        <w:t xml:space="preserve">), от които </w:t>
      </w:r>
      <w:r w:rsidR="009F56B0" w:rsidRPr="009F56B0">
        <w:rPr>
          <w:lang w:val="ru-RU"/>
        </w:rPr>
        <w:t>40</w:t>
      </w:r>
      <w:r w:rsidRPr="009F56B0">
        <w:t xml:space="preserve"> броя са над </w:t>
      </w:r>
      <w:proofErr w:type="spellStart"/>
      <w:r w:rsidRPr="009F56B0">
        <w:t>средноденонощната</w:t>
      </w:r>
      <w:proofErr w:type="spellEnd"/>
      <w:r w:rsidRPr="009F56B0">
        <w:t xml:space="preserve"> норма. </w:t>
      </w:r>
    </w:p>
    <w:p w:rsidR="006B0D17" w:rsidRPr="009F56B0" w:rsidRDefault="006B0D17" w:rsidP="006B0D17">
      <w:pPr>
        <w:tabs>
          <w:tab w:val="left" w:pos="720"/>
        </w:tabs>
        <w:jc w:val="both"/>
      </w:pPr>
    </w:p>
    <w:p w:rsidR="006B0D17" w:rsidRPr="009F56B0" w:rsidRDefault="006B0D17" w:rsidP="006B0D17">
      <w:pPr>
        <w:tabs>
          <w:tab w:val="left" w:pos="720"/>
        </w:tabs>
        <w:jc w:val="both"/>
        <w:rPr>
          <w:i/>
        </w:rPr>
      </w:pPr>
      <w:r w:rsidRPr="009F56B0">
        <w:t xml:space="preserve">                                                </w:t>
      </w:r>
    </w:p>
    <w:p w:rsidR="00DA7DDB" w:rsidRPr="009F56B0" w:rsidRDefault="00DA7DDB" w:rsidP="00DA7DDB">
      <w:pPr>
        <w:tabs>
          <w:tab w:val="left" w:pos="720"/>
        </w:tabs>
        <w:jc w:val="both"/>
      </w:pPr>
      <w:r w:rsidRPr="009F56B0">
        <w:t xml:space="preserve">            През м. януари 2022 г. са извършени 31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като в 3 (три) броя от дните са установени превишения на </w:t>
      </w:r>
      <w:proofErr w:type="spellStart"/>
      <w:r w:rsidRPr="009F56B0">
        <w:t>средноденонощната</w:t>
      </w:r>
      <w:proofErr w:type="spellEnd"/>
      <w:r w:rsidRPr="009F56B0">
        <w:t xml:space="preserve"> норма. </w:t>
      </w:r>
    </w:p>
    <w:p w:rsidR="00DA7DDB" w:rsidRPr="009F56B0" w:rsidRDefault="00DA7DDB" w:rsidP="00DA7DDB">
      <w:pPr>
        <w:jc w:val="both"/>
        <w:rPr>
          <w:sz w:val="20"/>
          <w:szCs w:val="20"/>
        </w:rPr>
      </w:pPr>
      <w:r w:rsidRPr="009F56B0">
        <w:rPr>
          <w:sz w:val="20"/>
          <w:szCs w:val="20"/>
          <w:lang w:val="ru-RU"/>
        </w:rPr>
        <w:t xml:space="preserve"> </w:t>
      </w:r>
    </w:p>
    <w:p w:rsidR="00DA7DDB" w:rsidRPr="009F56B0" w:rsidRDefault="00DA7DDB" w:rsidP="00DA7DDB">
      <w:pPr>
        <w:tabs>
          <w:tab w:val="left" w:pos="2100"/>
        </w:tabs>
      </w:pPr>
      <w:r w:rsidRPr="009F56B0">
        <w:rPr>
          <w:noProof/>
          <w:lang w:val="en-US" w:eastAsia="en-US"/>
        </w:rPr>
        <mc:AlternateContent>
          <mc:Choice Requires="wps">
            <w:drawing>
              <wp:anchor distT="0" distB="0" distL="114300" distR="114300" simplePos="0" relativeHeight="251686912" behindDoc="0" locked="0" layoutInCell="1" allowOverlap="1" wp14:anchorId="3DB76398" wp14:editId="3F7490B7">
                <wp:simplePos x="0" y="0"/>
                <wp:positionH relativeFrom="column">
                  <wp:posOffset>357505</wp:posOffset>
                </wp:positionH>
                <wp:positionV relativeFrom="paragraph">
                  <wp:posOffset>1405890</wp:posOffset>
                </wp:positionV>
                <wp:extent cx="6067425" cy="257175"/>
                <wp:effectExtent l="0" t="0" r="28575" b="0"/>
                <wp:wrapNone/>
                <wp:docPr id="27"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7425" cy="257175"/>
                        </a:xfrm>
                        <a:custGeom>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55C14" id="Freeform 135" o:spid="_x0000_s1026" style="position:absolute;margin-left:28.15pt;margin-top:110.7pt;width:477.7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" path="m,l9510,e" filled="f" strokecolor="blue" strokeweight="1.5pt">
                <v:path arrowok="t" o:connecttype="custom" o:connectlocs="0,0;6067425,0" o:connectangles="0,0"/>
              </v:shape>
            </w:pict>
          </mc:Fallback>
        </mc:AlternateContent>
      </w:r>
      <w:r w:rsidRPr="009F56B0">
        <w:rPr>
          <w:noProof/>
          <w:lang w:val="en-US" w:eastAsia="en-US"/>
        </w:rPr>
        <mc:AlternateContent>
          <mc:Choice Requires="wps">
            <w:drawing>
              <wp:anchor distT="0" distB="0" distL="114300" distR="114300" simplePos="0" relativeHeight="251687936" behindDoc="0" locked="0" layoutInCell="1" allowOverlap="1" wp14:anchorId="75E095CB" wp14:editId="43DF7A5E">
                <wp:simplePos x="0" y="0"/>
                <wp:positionH relativeFrom="column">
                  <wp:posOffset>-114300</wp:posOffset>
                </wp:positionH>
                <wp:positionV relativeFrom="paragraph">
                  <wp:posOffset>25400</wp:posOffset>
                </wp:positionV>
                <wp:extent cx="571500" cy="228600"/>
                <wp:effectExtent l="0" t="0" r="0" b="0"/>
                <wp:wrapNone/>
                <wp:docPr id="2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DDB" w:rsidRDefault="00DA7DDB" w:rsidP="00DA7DDB">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095CB" id="_x0000_t202" coordsize="21600,21600" o:spt="202" path="m,l,21600r21600,l21600,xe">
                <v:stroke joinstyle="miter"/>
                <v:path gradientshapeok="t" o:connecttype="rect"/>
              </v:shapetype>
              <v:shape id="Text Box 140" o:spid="_x0000_s1026" type="#_x0000_t202" style="position:absolute;margin-left:-9pt;margin-top:2pt;width:4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avggIAABE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" stroked="f">
                <v:textbox>
                  <w:txbxContent>
                    <w:p w:rsidR="00DA7DDB" w:rsidRDefault="00DA7DDB" w:rsidP="00DA7DDB">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r w:rsidRPr="009F56B0">
        <w:t xml:space="preserve">           </w:t>
      </w:r>
      <w:r w:rsidRPr="009F56B0">
        <w:rPr>
          <w:noProof/>
          <w:lang w:val="en-US" w:eastAsia="en-US"/>
        </w:rPr>
        <w:drawing>
          <wp:inline distT="0" distB="0" distL="0" distR="0" wp14:anchorId="6F663818" wp14:editId="3F82E9A7">
            <wp:extent cx="6534456" cy="2724150"/>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9F56B0">
        <w:t xml:space="preserve">                                                                                                                                     </w:t>
      </w:r>
    </w:p>
    <w:p w:rsidR="00DA7DDB" w:rsidRPr="009F56B0" w:rsidRDefault="00DA7DDB" w:rsidP="00DA7DDB">
      <w:pPr>
        <w:tabs>
          <w:tab w:val="left" w:pos="2100"/>
        </w:tabs>
        <w:rPr>
          <w:i/>
        </w:rPr>
      </w:pPr>
      <w:r w:rsidRPr="009F56B0">
        <w:rPr>
          <w:i/>
        </w:rPr>
        <w:t xml:space="preserve">                                                                                                                             м. януари 2022 г.      </w:t>
      </w:r>
    </w:p>
    <w:p w:rsidR="006B0D17" w:rsidRPr="009F56B0" w:rsidRDefault="006B0D17" w:rsidP="006B0D17">
      <w:pPr>
        <w:tabs>
          <w:tab w:val="left" w:pos="2100"/>
        </w:tabs>
        <w:rPr>
          <w:i/>
        </w:rPr>
      </w:pPr>
    </w:p>
    <w:p w:rsidR="006B0D17" w:rsidRPr="009F56B0" w:rsidRDefault="006B0D17" w:rsidP="006B0D17">
      <w:pPr>
        <w:tabs>
          <w:tab w:val="left" w:pos="2100"/>
        </w:tabs>
        <w:rPr>
          <w:i/>
        </w:rPr>
      </w:pPr>
    </w:p>
    <w:p w:rsidR="006B0D17" w:rsidRPr="009F56B0" w:rsidRDefault="006B0D17" w:rsidP="006B0D17">
      <w:pPr>
        <w:jc w:val="both"/>
      </w:pPr>
      <w:r w:rsidRPr="009F56B0">
        <w:t xml:space="preserve">                                                                                                 </w:t>
      </w:r>
    </w:p>
    <w:p w:rsidR="00DA7DDB" w:rsidRPr="009F56B0" w:rsidRDefault="006B0D17" w:rsidP="00DA7DDB">
      <w:pPr>
        <w:tabs>
          <w:tab w:val="left" w:pos="720"/>
        </w:tabs>
        <w:jc w:val="both"/>
        <w:rPr>
          <w:lang w:val="ru-RU"/>
        </w:rPr>
      </w:pPr>
      <w:r w:rsidRPr="009F56B0">
        <w:t xml:space="preserve">                </w:t>
      </w:r>
      <w:r w:rsidR="00DA7DDB" w:rsidRPr="009F56B0">
        <w:t xml:space="preserve">            През м. февруари 2022 г. са извършени 28 </w:t>
      </w:r>
      <w:proofErr w:type="spellStart"/>
      <w:r w:rsidR="00DA7DDB" w:rsidRPr="009F56B0">
        <w:t>пробонабирания</w:t>
      </w:r>
      <w:proofErr w:type="spellEnd"/>
      <w:r w:rsidR="00DA7DDB" w:rsidRPr="009F56B0">
        <w:t xml:space="preserve"> по показател ФПЧ10, от които превишения на </w:t>
      </w:r>
      <w:proofErr w:type="spellStart"/>
      <w:r w:rsidR="00DA7DDB" w:rsidRPr="009F56B0">
        <w:t>средноденонощната</w:t>
      </w:r>
      <w:proofErr w:type="spellEnd"/>
      <w:r w:rsidR="00DA7DDB" w:rsidRPr="009F56B0">
        <w:t xml:space="preserve"> норма са регистрирани в 5 (пет) броя от дните.</w:t>
      </w:r>
    </w:p>
    <w:p w:rsidR="00DA7DDB" w:rsidRPr="009F56B0" w:rsidRDefault="00DA7DDB" w:rsidP="00DA7DDB">
      <w:pPr>
        <w:tabs>
          <w:tab w:val="left" w:pos="720"/>
        </w:tabs>
        <w:jc w:val="both"/>
        <w:rPr>
          <w:i/>
        </w:rPr>
      </w:pPr>
      <w:r w:rsidRPr="009F56B0">
        <w:rPr>
          <w:noProof/>
          <w:lang w:val="en-US" w:eastAsia="en-US"/>
        </w:rPr>
        <mc:AlternateContent>
          <mc:Choice Requires="wps">
            <w:drawing>
              <wp:anchor distT="0" distB="0" distL="114300" distR="114300" simplePos="0" relativeHeight="251689984" behindDoc="0" locked="0" layoutInCell="1" allowOverlap="1" wp14:anchorId="1C4A8C1A" wp14:editId="72ED9284">
                <wp:simplePos x="0" y="0"/>
                <wp:positionH relativeFrom="column">
                  <wp:posOffset>-114300</wp:posOffset>
                </wp:positionH>
                <wp:positionV relativeFrom="paragraph">
                  <wp:posOffset>194310</wp:posOffset>
                </wp:positionV>
                <wp:extent cx="571500" cy="228600"/>
                <wp:effectExtent l="0" t="0" r="0" b="0"/>
                <wp:wrapNone/>
                <wp:docPr id="3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DDB" w:rsidRDefault="00DA7DDB" w:rsidP="00DA7DDB">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A8C1A" id="Text Box 139" o:spid="_x0000_s1027" type="#_x0000_t202" style="position:absolute;left:0;text-align:left;margin-left:-9pt;margin-top:15.3pt;width:45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Z+hAIAABg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" stroked="f">
                <v:textbox>
                  <w:txbxContent>
                    <w:p w:rsidR="00DA7DDB" w:rsidRDefault="00DA7DDB" w:rsidP="00DA7DDB">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r w:rsidRPr="009F56B0">
        <w:t xml:space="preserve">            </w:t>
      </w:r>
      <w:r w:rsidRPr="009F56B0">
        <w:rPr>
          <w:noProof/>
          <w:lang w:val="en-US" w:eastAsia="en-US"/>
        </w:rPr>
        <w:drawing>
          <wp:inline distT="0" distB="0" distL="0" distR="0" wp14:anchorId="1F1AC053" wp14:editId="6050F90E">
            <wp:extent cx="6829425" cy="2656715"/>
            <wp:effectExtent l="0" t="0" r="0" b="0"/>
            <wp:docPr id="33"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9F56B0">
        <w:t xml:space="preserve">                                                                                                                                                                                                                                                                                                       </w:t>
      </w:r>
    </w:p>
    <w:p w:rsidR="00DA7DDB" w:rsidRPr="009F56B0" w:rsidRDefault="00DA7DDB" w:rsidP="00DA7DDB">
      <w:pPr>
        <w:tabs>
          <w:tab w:val="left" w:pos="720"/>
        </w:tabs>
        <w:jc w:val="both"/>
        <w:rPr>
          <w:i/>
        </w:rPr>
      </w:pPr>
      <w:r w:rsidRPr="009F56B0">
        <w:t xml:space="preserve">                                                                                                                          </w:t>
      </w:r>
      <w:r w:rsidRPr="009F56B0">
        <w:rPr>
          <w:i/>
        </w:rPr>
        <w:t>м. февруари 2022 г.</w:t>
      </w:r>
    </w:p>
    <w:p w:rsidR="00DA7DDB" w:rsidRPr="009F56B0" w:rsidRDefault="00F64B8D" w:rsidP="00DA7DDB">
      <w:pPr>
        <w:tabs>
          <w:tab w:val="left" w:pos="720"/>
        </w:tabs>
        <w:jc w:val="both"/>
      </w:pPr>
      <w:r w:rsidRPr="009F56B0">
        <w:lastRenderedPageBreak/>
        <w:t xml:space="preserve">       </w:t>
      </w:r>
      <w:r w:rsidR="00DA7DDB" w:rsidRPr="009F56B0">
        <w:t xml:space="preserve">През </w:t>
      </w:r>
      <w:proofErr w:type="spellStart"/>
      <w:r w:rsidR="00A40929">
        <w:t>м.март</w:t>
      </w:r>
      <w:bookmarkStart w:id="0" w:name="_GoBack"/>
      <w:bookmarkEnd w:id="0"/>
      <w:proofErr w:type="spellEnd"/>
      <w:r w:rsidR="00DA7DDB" w:rsidRPr="009F56B0">
        <w:t xml:space="preserve"> са извършени 31 </w:t>
      </w:r>
      <w:proofErr w:type="spellStart"/>
      <w:r w:rsidR="00DA7DDB" w:rsidRPr="009F56B0">
        <w:t>пробонабирания</w:t>
      </w:r>
      <w:proofErr w:type="spellEnd"/>
      <w:r w:rsidR="00DA7DDB" w:rsidRPr="009F56B0">
        <w:t xml:space="preserve"> по показател ФПЧ</w:t>
      </w:r>
      <w:r w:rsidR="00DA7DDB" w:rsidRPr="009F56B0">
        <w:rPr>
          <w:vertAlign w:val="subscript"/>
        </w:rPr>
        <w:t>10</w:t>
      </w:r>
      <w:r w:rsidR="00DA7DDB" w:rsidRPr="009F56B0">
        <w:t xml:space="preserve">, от които превишенията на </w:t>
      </w:r>
      <w:proofErr w:type="spellStart"/>
      <w:r w:rsidR="00DA7DDB" w:rsidRPr="009F56B0">
        <w:t>средноденонощната</w:t>
      </w:r>
      <w:proofErr w:type="spellEnd"/>
      <w:r w:rsidR="00DA7DDB" w:rsidRPr="009F56B0">
        <w:t xml:space="preserve"> норма са констатирани в 9 (девет) случая.</w:t>
      </w:r>
    </w:p>
    <w:p w:rsidR="00DA7DDB" w:rsidRPr="009F56B0" w:rsidRDefault="00DA7DDB" w:rsidP="00DA7DDB">
      <w:pPr>
        <w:tabs>
          <w:tab w:val="left" w:pos="2100"/>
        </w:tabs>
        <w:jc w:val="both"/>
      </w:pPr>
      <w:r w:rsidRPr="009F56B0">
        <w:rPr>
          <w:noProof/>
          <w:lang w:val="en-US" w:eastAsia="en-US"/>
        </w:rPr>
        <mc:AlternateContent>
          <mc:Choice Requires="wps">
            <w:drawing>
              <wp:anchor distT="0" distB="0" distL="114300" distR="114300" simplePos="0" relativeHeight="251692032" behindDoc="0" locked="0" layoutInCell="1" allowOverlap="1" wp14:anchorId="1D6F842D" wp14:editId="5A2E7003">
                <wp:simplePos x="0" y="0"/>
                <wp:positionH relativeFrom="column">
                  <wp:posOffset>-114300</wp:posOffset>
                </wp:positionH>
                <wp:positionV relativeFrom="paragraph">
                  <wp:posOffset>76200</wp:posOffset>
                </wp:positionV>
                <wp:extent cx="685800" cy="342900"/>
                <wp:effectExtent l="0" t="0" r="0" b="0"/>
                <wp:wrapNone/>
                <wp:docPr id="1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7DDB" w:rsidRDefault="00DA7DDB" w:rsidP="00DA7DDB">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F842D" id="Text Box 138" o:spid="_x0000_s1028" type="#_x0000_t202" style="position:absolute;left:0;text-align:left;margin-left:-9pt;margin-top:6pt;width:54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bhhQIAABg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" stroked="f">
                <v:textbox>
                  <w:txbxContent>
                    <w:p w:rsidR="00DA7DDB" w:rsidRDefault="00DA7DDB" w:rsidP="00DA7DDB">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DA7DDB" w:rsidRPr="009F56B0" w:rsidRDefault="00DA7DDB" w:rsidP="00DA7DDB">
      <w:pPr>
        <w:tabs>
          <w:tab w:val="left" w:pos="9780"/>
        </w:tabs>
        <w:jc w:val="both"/>
      </w:pPr>
      <w:r w:rsidRPr="009F56B0">
        <w:tab/>
      </w:r>
    </w:p>
    <w:p w:rsidR="00DA7DDB" w:rsidRPr="009F56B0" w:rsidRDefault="00DA7DDB" w:rsidP="00DA7DDB">
      <w:pPr>
        <w:tabs>
          <w:tab w:val="left" w:pos="2100"/>
        </w:tabs>
        <w:jc w:val="both"/>
        <w:rPr>
          <w:i/>
        </w:rPr>
      </w:pPr>
      <w:r w:rsidRPr="009F56B0">
        <w:rPr>
          <w:noProof/>
          <w:lang w:val="en-US" w:eastAsia="en-US"/>
        </w:rPr>
        <mc:AlternateContent>
          <mc:Choice Requires="wps">
            <w:drawing>
              <wp:anchor distT="0" distB="0" distL="114300" distR="114300" simplePos="0" relativeHeight="251693056" behindDoc="0" locked="0" layoutInCell="1" allowOverlap="1" wp14:anchorId="428C0FBC" wp14:editId="124487AD">
                <wp:simplePos x="0" y="0"/>
                <wp:positionH relativeFrom="column">
                  <wp:posOffset>296741</wp:posOffset>
                </wp:positionH>
                <wp:positionV relativeFrom="paragraph">
                  <wp:posOffset>1547349</wp:posOffset>
                </wp:positionV>
                <wp:extent cx="5962650" cy="139700"/>
                <wp:effectExtent l="0" t="0" r="19050" b="0"/>
                <wp:wrapNone/>
                <wp:docPr id="15"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2650" cy="139700"/>
                        </a:xfrm>
                        <a:custGeom>
                          <a:avLst/>
                          <a:gdLst>
                            <a:gd name="T0" fmla="*/ 0 w 9555"/>
                            <a:gd name="T1" fmla="*/ 0 h 1"/>
                            <a:gd name="T2" fmla="*/ 9555 w 9555"/>
                            <a:gd name="T3" fmla="*/ 0 h 1"/>
                          </a:gdLst>
                          <a:ahLst/>
                          <a:cxnLst>
                            <a:cxn ang="0">
                              <a:pos x="T0" y="T1"/>
                            </a:cxn>
                            <a:cxn ang="0">
                              <a:pos x="T2" y="T3"/>
                            </a:cxn>
                          </a:cxnLst>
                          <a:rect l="0" t="0" r="r" b="b"/>
                          <a:pathLst>
                            <a:path w="9555" h="1">
                              <a:moveTo>
                                <a:pt x="0" y="0"/>
                              </a:moveTo>
                              <a:lnTo>
                                <a:pt x="9555" y="0"/>
                              </a:lnTo>
                            </a:path>
                          </a:pathLst>
                        </a:custGeom>
                        <a:noFill/>
                        <a:ln w="1905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5A9DB" id="Freeform 144" o:spid="_x0000_s1026" style="position:absolute;margin-left:23.35pt;margin-top:121.85pt;width:469.5pt;height: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" path="m,l9555,e" filled="f" strokecolor="blue" strokeweight="1.5pt">
                <v:path arrowok="t" o:connecttype="custom" o:connectlocs="0,0;5962650,0" o:connectangles="0,0"/>
              </v:shape>
            </w:pict>
          </mc:Fallback>
        </mc:AlternateContent>
      </w:r>
      <w:r w:rsidRPr="009F56B0">
        <w:rPr>
          <w:noProof/>
          <w:lang w:val="en-US" w:eastAsia="en-US"/>
        </w:rPr>
        <w:drawing>
          <wp:inline distT="0" distB="0" distL="0" distR="0" wp14:anchorId="6A15AC4C" wp14:editId="5C7FBF24">
            <wp:extent cx="6838950" cy="2823330"/>
            <wp:effectExtent l="0" t="0" r="0" b="0"/>
            <wp:docPr id="34" name="Objec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9F56B0">
        <w:rPr>
          <w:i/>
        </w:rPr>
        <w:t xml:space="preserve">         </w:t>
      </w:r>
    </w:p>
    <w:p w:rsidR="00DA7DDB" w:rsidRPr="009F56B0" w:rsidRDefault="00DA7DDB" w:rsidP="00DA7DDB">
      <w:pPr>
        <w:tabs>
          <w:tab w:val="left" w:pos="2100"/>
        </w:tabs>
        <w:jc w:val="both"/>
        <w:rPr>
          <w:i/>
        </w:rPr>
      </w:pPr>
    </w:p>
    <w:p w:rsidR="00DA7DDB" w:rsidRPr="009F56B0" w:rsidRDefault="00DA7DDB" w:rsidP="00DA7DDB">
      <w:pPr>
        <w:tabs>
          <w:tab w:val="left" w:pos="2100"/>
        </w:tabs>
        <w:jc w:val="both"/>
        <w:rPr>
          <w:i/>
        </w:rPr>
      </w:pPr>
      <w:r w:rsidRPr="009F56B0">
        <w:rPr>
          <w:i/>
        </w:rPr>
        <w:t xml:space="preserve">                                                                                                                                 м. март 2022 г.</w:t>
      </w:r>
    </w:p>
    <w:p w:rsidR="006B0D17" w:rsidRPr="009F56B0" w:rsidRDefault="006B0D17" w:rsidP="00DA7DDB">
      <w:pPr>
        <w:tabs>
          <w:tab w:val="left" w:pos="720"/>
        </w:tabs>
        <w:jc w:val="both"/>
        <w:rPr>
          <w:i/>
        </w:rPr>
      </w:pPr>
    </w:p>
    <w:p w:rsidR="006B0D17" w:rsidRPr="009F56B0" w:rsidRDefault="006B0D17" w:rsidP="006B0D17">
      <w:pPr>
        <w:tabs>
          <w:tab w:val="left" w:pos="720"/>
        </w:tabs>
        <w:jc w:val="both"/>
        <w:rPr>
          <w:i/>
        </w:rPr>
      </w:pPr>
    </w:p>
    <w:p w:rsidR="00F64B8D" w:rsidRPr="009F56B0" w:rsidRDefault="00F64B8D" w:rsidP="00F64B8D">
      <w:pPr>
        <w:jc w:val="both"/>
      </w:pPr>
      <w:r w:rsidRPr="009F56B0">
        <w:t xml:space="preserve">През месец април 2022 г. са извършени 30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Констатирано е 1 (едно) превишение на </w:t>
      </w:r>
      <w:proofErr w:type="spellStart"/>
      <w:r w:rsidRPr="009F56B0">
        <w:t>средноденонощната</w:t>
      </w:r>
      <w:proofErr w:type="spellEnd"/>
      <w:r w:rsidRPr="009F56B0">
        <w:t xml:space="preserve"> норма.</w:t>
      </w:r>
    </w:p>
    <w:p w:rsidR="00F64B8D" w:rsidRPr="009F56B0" w:rsidRDefault="00F64B8D" w:rsidP="00F64B8D">
      <w:pPr>
        <w:jc w:val="both"/>
        <w:rPr>
          <w:lang w:val="ru-RU"/>
        </w:rPr>
      </w:pPr>
      <w:r w:rsidRPr="009F56B0">
        <w:rPr>
          <w:noProof/>
          <w:lang w:val="en-US" w:eastAsia="en-US"/>
        </w:rPr>
        <mc:AlternateContent>
          <mc:Choice Requires="wps">
            <w:drawing>
              <wp:anchor distT="0" distB="0" distL="114300" distR="114300" simplePos="0" relativeHeight="251669504" behindDoc="0" locked="0" layoutInCell="1" allowOverlap="1" wp14:anchorId="2BD4B89F" wp14:editId="1ABB7EDC">
                <wp:simplePos x="0" y="0"/>
                <wp:positionH relativeFrom="column">
                  <wp:posOffset>-228600</wp:posOffset>
                </wp:positionH>
                <wp:positionV relativeFrom="paragraph">
                  <wp:posOffset>80010</wp:posOffset>
                </wp:positionV>
                <wp:extent cx="571500" cy="228600"/>
                <wp:effectExtent l="0" t="0" r="0" b="0"/>
                <wp:wrapNone/>
                <wp:docPr id="3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B8D" w:rsidRDefault="00F64B8D" w:rsidP="00F64B8D">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4B89F" id="Text Box 105" o:spid="_x0000_s1029" type="#_x0000_t202" style="position:absolute;left:0;text-align:left;margin-left:-18pt;margin-top:6.3pt;width:4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" stroked="f">
                <v:textbox>
                  <w:txbxContent>
                    <w:p w:rsidR="00F64B8D" w:rsidRDefault="00F64B8D" w:rsidP="00F64B8D">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F64B8D" w:rsidRPr="009F56B0" w:rsidRDefault="00F64B8D" w:rsidP="00F64B8D">
      <w:pPr>
        <w:ind w:left="-180"/>
      </w:pPr>
      <w:r w:rsidRPr="009F56B0">
        <w:rPr>
          <w:noProof/>
          <w:lang w:val="en-US" w:eastAsia="en-US"/>
        </w:rPr>
        <mc:AlternateContent>
          <mc:Choice Requires="wps">
            <w:drawing>
              <wp:anchor distT="0" distB="0" distL="114300" distR="114300" simplePos="0" relativeHeight="251668480" behindDoc="0" locked="0" layoutInCell="1" allowOverlap="1" wp14:anchorId="25FE8242" wp14:editId="2FD7EAA1">
                <wp:simplePos x="0" y="0"/>
                <wp:positionH relativeFrom="column">
                  <wp:posOffset>304800</wp:posOffset>
                </wp:positionH>
                <wp:positionV relativeFrom="paragraph">
                  <wp:posOffset>1313815</wp:posOffset>
                </wp:positionV>
                <wp:extent cx="6038850" cy="0"/>
                <wp:effectExtent l="0" t="0" r="19050" b="19050"/>
                <wp:wrapNone/>
                <wp:docPr id="37"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8850" cy="0"/>
                        </a:xfrm>
                        <a:custGeom>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solidFill>
                          <a:srgbClr val="3366FF"/>
                        </a:solidFill>
                        <a:ln w="19050">
                          <a:solidFill>
                            <a:srgbClr val="3366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DBA0D" id="Freeform 72" o:spid="_x0000_s1026" style="position:absolute;margin-left:24pt;margin-top:103.45pt;width:47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" path="m,l9510,e" fillcolor="#36f" strokecolor="#36f" strokeweight="1.5pt">
                <v:path arrowok="t" o:connecttype="custom" o:connectlocs="0,0;6038850,0" o:connectangles="0,0"/>
              </v:shape>
            </w:pict>
          </mc:Fallback>
        </mc:AlternateContent>
      </w:r>
      <w:r w:rsidRPr="009F56B0">
        <w:rPr>
          <w:noProof/>
          <w:lang w:val="en-US" w:eastAsia="en-US"/>
        </w:rPr>
        <w:drawing>
          <wp:inline distT="0" distB="0" distL="0" distR="0" wp14:anchorId="0950F55D" wp14:editId="01E1A038">
            <wp:extent cx="6776416" cy="2741327"/>
            <wp:effectExtent l="0" t="0" r="5715" b="0"/>
            <wp:docPr id="12"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9F56B0">
        <w:t xml:space="preserve">                                                                                                                                       </w:t>
      </w:r>
      <w:r w:rsidRPr="009F56B0">
        <w:rPr>
          <w:i/>
        </w:rPr>
        <w:t>м. април 2022 г.</w:t>
      </w:r>
    </w:p>
    <w:p w:rsidR="00F64B8D" w:rsidRPr="009F56B0" w:rsidRDefault="00F64B8D" w:rsidP="00F64B8D">
      <w:pPr>
        <w:jc w:val="both"/>
        <w:rPr>
          <w:lang w:val="ru-RU"/>
        </w:rPr>
      </w:pPr>
      <w:r w:rsidRPr="009F56B0">
        <w:tab/>
        <w:t xml:space="preserve"> </w:t>
      </w:r>
    </w:p>
    <w:p w:rsidR="00F64B8D" w:rsidRPr="009F56B0" w:rsidRDefault="00F64B8D" w:rsidP="00F64B8D">
      <w:pPr>
        <w:jc w:val="both"/>
      </w:pPr>
    </w:p>
    <w:p w:rsidR="00F64B8D" w:rsidRPr="009F56B0" w:rsidRDefault="00F64B8D" w:rsidP="00F64B8D">
      <w:pPr>
        <w:tabs>
          <w:tab w:val="left" w:pos="720"/>
        </w:tabs>
        <w:jc w:val="both"/>
        <w:rPr>
          <w:lang w:val="ru-RU"/>
        </w:rPr>
      </w:pPr>
      <w:r w:rsidRPr="009F56B0">
        <w:lastRenderedPageBreak/>
        <w:t xml:space="preserve">            </w:t>
      </w:r>
      <w:proofErr w:type="spellStart"/>
      <w:r w:rsidRPr="009F56B0">
        <w:rPr>
          <w:lang w:val="ru-RU"/>
        </w:rPr>
        <w:t>През</w:t>
      </w:r>
      <w:proofErr w:type="spellEnd"/>
      <w:r w:rsidRPr="009F56B0">
        <w:rPr>
          <w:lang w:val="ru-RU"/>
        </w:rPr>
        <w:t xml:space="preserve"> м. </w:t>
      </w:r>
      <w:r w:rsidRPr="009F56B0">
        <w:t>май</w:t>
      </w:r>
      <w:r w:rsidRPr="009F56B0">
        <w:rPr>
          <w:lang w:val="ru-RU"/>
        </w:rPr>
        <w:t xml:space="preserve"> 202</w:t>
      </w:r>
      <w:r w:rsidRPr="009F56B0">
        <w:t>2</w:t>
      </w:r>
      <w:r w:rsidRPr="009F56B0">
        <w:rPr>
          <w:lang w:val="ru-RU"/>
        </w:rPr>
        <w:t xml:space="preserve"> г. </w:t>
      </w:r>
      <w:proofErr w:type="spellStart"/>
      <w:r w:rsidRPr="009F56B0">
        <w:rPr>
          <w:lang w:val="ru-RU"/>
        </w:rPr>
        <w:t>са</w:t>
      </w:r>
      <w:proofErr w:type="spellEnd"/>
      <w:r w:rsidRPr="009F56B0">
        <w:rPr>
          <w:lang w:val="ru-RU"/>
        </w:rPr>
        <w:t xml:space="preserve"> </w:t>
      </w:r>
      <w:proofErr w:type="spellStart"/>
      <w:r w:rsidRPr="009F56B0">
        <w:rPr>
          <w:lang w:val="ru-RU"/>
        </w:rPr>
        <w:t>извършени</w:t>
      </w:r>
      <w:proofErr w:type="spellEnd"/>
      <w:r w:rsidRPr="009F56B0">
        <w:rPr>
          <w:lang w:val="ru-RU"/>
        </w:rPr>
        <w:t xml:space="preserve"> 31</w:t>
      </w:r>
      <w:r w:rsidRPr="009F56B0">
        <w:t xml:space="preserve"> </w:t>
      </w:r>
      <w:proofErr w:type="spellStart"/>
      <w:r w:rsidRPr="009F56B0">
        <w:rPr>
          <w:lang w:val="ru-RU"/>
        </w:rPr>
        <w:t>пробонабирания</w:t>
      </w:r>
      <w:proofErr w:type="spellEnd"/>
      <w:r w:rsidRPr="009F56B0">
        <w:rPr>
          <w:lang w:val="ru-RU"/>
        </w:rPr>
        <w:t xml:space="preserve"> по </w:t>
      </w:r>
      <w:proofErr w:type="spellStart"/>
      <w:r w:rsidRPr="009F56B0">
        <w:rPr>
          <w:lang w:val="ru-RU"/>
        </w:rPr>
        <w:t>показател</w:t>
      </w:r>
      <w:proofErr w:type="spellEnd"/>
      <w:r w:rsidRPr="009F56B0">
        <w:rPr>
          <w:lang w:val="ru-RU"/>
        </w:rPr>
        <w:t xml:space="preserve"> ФПЧ</w:t>
      </w:r>
      <w:r w:rsidRPr="009F56B0">
        <w:rPr>
          <w:vertAlign w:val="subscript"/>
          <w:lang w:val="ru-RU"/>
        </w:rPr>
        <w:t>10</w:t>
      </w:r>
      <w:r w:rsidRPr="009F56B0">
        <w:rPr>
          <w:lang w:val="ru-RU"/>
        </w:rPr>
        <w:t xml:space="preserve">. Не </w:t>
      </w:r>
      <w:proofErr w:type="spellStart"/>
      <w:r w:rsidRPr="009F56B0">
        <w:rPr>
          <w:lang w:val="ru-RU"/>
        </w:rPr>
        <w:t>са</w:t>
      </w:r>
      <w:proofErr w:type="spellEnd"/>
      <w:r w:rsidRPr="009F56B0">
        <w:rPr>
          <w:lang w:val="ru-RU"/>
        </w:rPr>
        <w:t xml:space="preserve"> </w:t>
      </w:r>
      <w:proofErr w:type="spellStart"/>
      <w:r w:rsidRPr="009F56B0">
        <w:rPr>
          <w:lang w:val="ru-RU"/>
        </w:rPr>
        <w:t>регистрирани</w:t>
      </w:r>
      <w:proofErr w:type="spellEnd"/>
      <w:r w:rsidRPr="009F56B0">
        <w:rPr>
          <w:lang w:val="ru-RU"/>
        </w:rPr>
        <w:t xml:space="preserve"> </w:t>
      </w:r>
      <w:proofErr w:type="spellStart"/>
      <w:r w:rsidRPr="009F56B0">
        <w:rPr>
          <w:lang w:val="ru-RU"/>
        </w:rPr>
        <w:t>превишения</w:t>
      </w:r>
      <w:proofErr w:type="spellEnd"/>
      <w:r w:rsidRPr="009F56B0">
        <w:rPr>
          <w:lang w:val="ru-RU"/>
        </w:rPr>
        <w:t xml:space="preserve"> на </w:t>
      </w:r>
      <w:proofErr w:type="spellStart"/>
      <w:r w:rsidRPr="009F56B0">
        <w:rPr>
          <w:lang w:val="ru-RU"/>
        </w:rPr>
        <w:t>средноденонощната</w:t>
      </w:r>
      <w:proofErr w:type="spellEnd"/>
      <w:r w:rsidRPr="009F56B0">
        <w:rPr>
          <w:lang w:val="ru-RU"/>
        </w:rPr>
        <w:t xml:space="preserve"> норма.</w:t>
      </w:r>
    </w:p>
    <w:p w:rsidR="00F64B8D" w:rsidRPr="009F56B0" w:rsidRDefault="00F64B8D" w:rsidP="00F64B8D">
      <w:pPr>
        <w:tabs>
          <w:tab w:val="left" w:pos="720"/>
        </w:tabs>
        <w:jc w:val="both"/>
        <w:rPr>
          <w:lang w:val="ru-RU"/>
        </w:rPr>
      </w:pPr>
      <w:r w:rsidRPr="009F56B0">
        <w:rPr>
          <w:noProof/>
          <w:lang w:val="en-US" w:eastAsia="en-US"/>
        </w:rPr>
        <mc:AlternateContent>
          <mc:Choice Requires="wps">
            <w:drawing>
              <wp:anchor distT="0" distB="0" distL="114300" distR="114300" simplePos="0" relativeHeight="251667456" behindDoc="0" locked="0" layoutInCell="1" allowOverlap="1" wp14:anchorId="47CC36FF" wp14:editId="0066A664">
                <wp:simplePos x="0" y="0"/>
                <wp:positionH relativeFrom="column">
                  <wp:posOffset>-180975</wp:posOffset>
                </wp:positionH>
                <wp:positionV relativeFrom="paragraph">
                  <wp:posOffset>125730</wp:posOffset>
                </wp:positionV>
                <wp:extent cx="571500" cy="228600"/>
                <wp:effectExtent l="0" t="0" r="0" b="0"/>
                <wp:wrapNone/>
                <wp:docPr id="2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B8D" w:rsidRDefault="00F64B8D" w:rsidP="00F64B8D">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C36FF" id="Text Box 142" o:spid="_x0000_s1030" type="#_x0000_t202" style="position:absolute;left:0;text-align:left;margin-left:-14.25pt;margin-top:9.9pt;width:4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5LggIAABg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" stroked="f">
                <v:textbox>
                  <w:txbxContent>
                    <w:p w:rsidR="00F64B8D" w:rsidRDefault="00F64B8D" w:rsidP="00F64B8D">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F64B8D" w:rsidRPr="009F56B0" w:rsidRDefault="00F64B8D" w:rsidP="00F64B8D">
      <w:pPr>
        <w:jc w:val="both"/>
        <w:rPr>
          <w:lang w:val="ru-RU"/>
        </w:rPr>
      </w:pPr>
    </w:p>
    <w:p w:rsidR="00F64B8D" w:rsidRPr="009F56B0" w:rsidRDefault="00F64B8D" w:rsidP="00F64B8D">
      <w:pPr>
        <w:jc w:val="center"/>
        <w:rPr>
          <w:i/>
        </w:rPr>
      </w:pPr>
      <w:r w:rsidRPr="009F56B0">
        <w:rPr>
          <w:noProof/>
          <w:lang w:val="en-US" w:eastAsia="en-US"/>
        </w:rPr>
        <mc:AlternateContent>
          <mc:Choice Requires="wps">
            <w:drawing>
              <wp:anchor distT="0" distB="0" distL="114300" distR="114300" simplePos="0" relativeHeight="251666432" behindDoc="0" locked="0" layoutInCell="1" allowOverlap="1" wp14:anchorId="7D09F4F5" wp14:editId="020768C6">
                <wp:simplePos x="0" y="0"/>
                <wp:positionH relativeFrom="column">
                  <wp:posOffset>390525</wp:posOffset>
                </wp:positionH>
                <wp:positionV relativeFrom="paragraph">
                  <wp:posOffset>1252220</wp:posOffset>
                </wp:positionV>
                <wp:extent cx="5924550" cy="45720"/>
                <wp:effectExtent l="0" t="0" r="19050" b="0"/>
                <wp:wrapNone/>
                <wp:docPr id="19"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4550" cy="45720"/>
                        </a:xfrm>
                        <a:custGeom>
                          <a:avLst/>
                          <a:gdLst>
                            <a:gd name="T0" fmla="*/ 0 w 9435"/>
                            <a:gd name="T1" fmla="*/ 0 h 1"/>
                            <a:gd name="T2" fmla="*/ 9435 w 9435"/>
                            <a:gd name="T3" fmla="*/ 0 h 1"/>
                          </a:gdLst>
                          <a:ahLst/>
                          <a:cxnLst>
                            <a:cxn ang="0">
                              <a:pos x="T0" y="T1"/>
                            </a:cxn>
                            <a:cxn ang="0">
                              <a:pos x="T2" y="T3"/>
                            </a:cxn>
                          </a:cxnLst>
                          <a:rect l="0" t="0" r="r" b="b"/>
                          <a:pathLst>
                            <a:path w="9435" h="1">
                              <a:moveTo>
                                <a:pt x="0" y="0"/>
                              </a:moveTo>
                              <a:lnTo>
                                <a:pt x="9435" y="0"/>
                              </a:lnTo>
                            </a:path>
                          </a:pathLst>
                        </a:custGeom>
                        <a:noFill/>
                        <a:ln w="1905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941A3" id="Freeform 137" o:spid="_x0000_s1026" style="position:absolute;margin-left:30.75pt;margin-top:98.6pt;width:466.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" path="m,l9435,e" filled="f" strokecolor="#36f" strokeweight="1.5pt">
                <v:path arrowok="t" o:connecttype="custom" o:connectlocs="0,0;5924550,0" o:connectangles="0,0"/>
              </v:shape>
            </w:pict>
          </mc:Fallback>
        </mc:AlternateContent>
      </w:r>
      <w:r w:rsidRPr="009F56B0">
        <w:rPr>
          <w:noProof/>
          <w:lang w:val="en-US" w:eastAsia="en-US"/>
        </w:rPr>
        <w:drawing>
          <wp:inline distT="0" distB="0" distL="0" distR="0" wp14:anchorId="714B28E7" wp14:editId="6B6D0FDE">
            <wp:extent cx="6661343" cy="2602597"/>
            <wp:effectExtent l="0" t="0" r="6350" b="0"/>
            <wp:docPr id="13"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F56B0">
        <w:t xml:space="preserve">                                                                                     </w:t>
      </w:r>
      <w:r w:rsidRPr="009F56B0">
        <w:rPr>
          <w:lang w:val="ru-RU"/>
        </w:rPr>
        <w:t xml:space="preserve">                                               </w:t>
      </w:r>
      <w:r w:rsidRPr="009F56B0">
        <w:t xml:space="preserve">                         </w:t>
      </w:r>
    </w:p>
    <w:p w:rsidR="00F64B8D" w:rsidRPr="009F56B0" w:rsidRDefault="00F64B8D" w:rsidP="00F64B8D">
      <w:pPr>
        <w:rPr>
          <w:i/>
        </w:rPr>
      </w:pPr>
      <w:r w:rsidRPr="009F56B0">
        <w:rPr>
          <w:i/>
        </w:rPr>
        <w:t xml:space="preserve">                                                                                                                                    м. май 2022 г.</w:t>
      </w:r>
    </w:p>
    <w:p w:rsidR="00D868E6" w:rsidRPr="009F56B0" w:rsidRDefault="00D868E6" w:rsidP="00F64B8D">
      <w:pPr>
        <w:rPr>
          <w:i/>
        </w:rPr>
      </w:pPr>
    </w:p>
    <w:p w:rsidR="00D868E6" w:rsidRPr="009F56B0" w:rsidRDefault="00D868E6" w:rsidP="00D868E6">
      <w:pPr>
        <w:tabs>
          <w:tab w:val="left" w:pos="360"/>
          <w:tab w:val="left" w:pos="540"/>
          <w:tab w:val="left" w:pos="720"/>
        </w:tabs>
        <w:jc w:val="both"/>
        <w:rPr>
          <w:lang w:val="ru-RU"/>
        </w:rPr>
      </w:pPr>
      <w:r w:rsidRPr="009F56B0">
        <w:t xml:space="preserve">През м. юни 2022 г. са извършени </w:t>
      </w:r>
      <w:r w:rsidRPr="009F56B0">
        <w:rPr>
          <w:lang w:val="ru-RU"/>
        </w:rPr>
        <w:t>29</w:t>
      </w:r>
      <w:r w:rsidRPr="009F56B0">
        <w:t xml:space="preserve">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Няма регистрирани превишения на </w:t>
      </w:r>
      <w:proofErr w:type="spellStart"/>
      <w:r w:rsidRPr="009F56B0">
        <w:t>средноденонощната</w:t>
      </w:r>
      <w:proofErr w:type="spellEnd"/>
      <w:r w:rsidRPr="009F56B0">
        <w:t xml:space="preserve"> норма.</w:t>
      </w:r>
    </w:p>
    <w:p w:rsidR="00D868E6" w:rsidRPr="009F56B0" w:rsidRDefault="00D868E6" w:rsidP="00D868E6">
      <w:pPr>
        <w:tabs>
          <w:tab w:val="left" w:pos="360"/>
          <w:tab w:val="left" w:pos="540"/>
          <w:tab w:val="left" w:pos="720"/>
        </w:tabs>
        <w:jc w:val="both"/>
      </w:pPr>
    </w:p>
    <w:p w:rsidR="00D868E6" w:rsidRPr="009F56B0" w:rsidRDefault="00D868E6" w:rsidP="00D868E6">
      <w:pPr>
        <w:jc w:val="both"/>
        <w:rPr>
          <w:lang w:val="ru-RU"/>
        </w:rPr>
      </w:pPr>
      <w:r w:rsidRPr="009F56B0">
        <w:rPr>
          <w:noProof/>
          <w:lang w:val="en-US" w:eastAsia="en-US"/>
        </w:rPr>
        <mc:AlternateContent>
          <mc:Choice Requires="wps">
            <w:drawing>
              <wp:anchor distT="0" distB="0" distL="114300" distR="114300" simplePos="0" relativeHeight="251675648" behindDoc="0" locked="0" layoutInCell="1" allowOverlap="1" wp14:anchorId="5206A26C" wp14:editId="6391DCED">
                <wp:simplePos x="0" y="0"/>
                <wp:positionH relativeFrom="column">
                  <wp:posOffset>0</wp:posOffset>
                </wp:positionH>
                <wp:positionV relativeFrom="paragraph">
                  <wp:posOffset>0</wp:posOffset>
                </wp:positionV>
                <wp:extent cx="571500" cy="228600"/>
                <wp:effectExtent l="0" t="0" r="0" b="0"/>
                <wp:wrapNone/>
                <wp:docPr id="2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68E6" w:rsidRDefault="00D868E6" w:rsidP="00D868E6">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6A26C" id="Text Box 141" o:spid="_x0000_s1031" type="#_x0000_t202" style="position:absolute;left:0;text-align:left;margin-left:0;margin-top:0;width:4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" stroked="f">
                <v:textbox>
                  <w:txbxContent>
                    <w:p w:rsidR="00D868E6" w:rsidRDefault="00D868E6" w:rsidP="00D868E6">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D868E6" w:rsidRPr="009F56B0" w:rsidRDefault="00D868E6" w:rsidP="00D868E6">
      <w:pPr>
        <w:jc w:val="both"/>
        <w:rPr>
          <w:i/>
          <w:lang w:val="ru-RU"/>
        </w:rPr>
      </w:pPr>
      <w:r w:rsidRPr="009F56B0">
        <w:rPr>
          <w:noProof/>
          <w:lang w:val="en-US" w:eastAsia="en-US"/>
        </w:rPr>
        <mc:AlternateContent>
          <mc:Choice Requires="wps">
            <w:drawing>
              <wp:anchor distT="0" distB="0" distL="114300" distR="114300" simplePos="0" relativeHeight="251674624" behindDoc="0" locked="0" layoutInCell="1" allowOverlap="1" wp14:anchorId="6DD56C2D" wp14:editId="2FA3F2C2">
                <wp:simplePos x="0" y="0"/>
                <wp:positionH relativeFrom="column">
                  <wp:posOffset>371475</wp:posOffset>
                </wp:positionH>
                <wp:positionV relativeFrom="paragraph">
                  <wp:posOffset>1243965</wp:posOffset>
                </wp:positionV>
                <wp:extent cx="5972175" cy="172085"/>
                <wp:effectExtent l="0" t="0" r="28575" b="0"/>
                <wp:wrapNone/>
                <wp:docPr id="24"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172085"/>
                        </a:xfrm>
                        <a:custGeom>
                          <a:avLst/>
                          <a:gdLst>
                            <a:gd name="T0" fmla="*/ 0 w 9525"/>
                            <a:gd name="T1" fmla="*/ 0 h 1"/>
                            <a:gd name="T2" fmla="*/ 9525 w 9525"/>
                            <a:gd name="T3" fmla="*/ 0 h 1"/>
                          </a:gdLst>
                          <a:ahLst/>
                          <a:cxnLst>
                            <a:cxn ang="0">
                              <a:pos x="T0" y="T1"/>
                            </a:cxn>
                            <a:cxn ang="0">
                              <a:pos x="T2" y="T3"/>
                            </a:cxn>
                          </a:cxnLst>
                          <a:rect l="0" t="0" r="r" b="b"/>
                          <a:pathLst>
                            <a:path w="9525" h="1">
                              <a:moveTo>
                                <a:pt x="0" y="0"/>
                              </a:moveTo>
                              <a:lnTo>
                                <a:pt x="9525" y="0"/>
                              </a:lnTo>
                            </a:path>
                          </a:pathLst>
                        </a:custGeom>
                        <a:noFill/>
                        <a:ln w="1905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A731B" id="Freeform 134" o:spid="_x0000_s1026" style="position:absolute;margin-left:29.25pt;margin-top:97.95pt;width:470.25pt;height:1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" path="m,l9525,e" filled="f" strokecolor="#36f" strokeweight="1.5pt">
                <v:path arrowok="t" o:connecttype="custom" o:connectlocs="0,0;5972175,0" o:connectangles="0,0"/>
              </v:shape>
            </w:pict>
          </mc:Fallback>
        </mc:AlternateContent>
      </w:r>
      <w:r w:rsidRPr="009F56B0">
        <w:rPr>
          <w:noProof/>
          <w:lang w:val="en-US" w:eastAsia="en-US"/>
        </w:rPr>
        <w:drawing>
          <wp:inline distT="0" distB="0" distL="0" distR="0" wp14:anchorId="3FA4D26B" wp14:editId="312939D3">
            <wp:extent cx="7048500" cy="2752725"/>
            <wp:effectExtent l="0" t="0" r="0" b="0"/>
            <wp:docPr id="25"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F56B0">
        <w:rPr>
          <w:lang w:val="ru-RU"/>
        </w:rPr>
        <w:t xml:space="preserve">                                                                                                                                        </w:t>
      </w:r>
      <w:r w:rsidRPr="009F56B0">
        <w:rPr>
          <w:i/>
        </w:rPr>
        <w:t>м. юни 2022 г.</w:t>
      </w:r>
    </w:p>
    <w:p w:rsidR="00D868E6" w:rsidRPr="009F56B0" w:rsidRDefault="00D868E6" w:rsidP="00D868E6">
      <w:pPr>
        <w:jc w:val="both"/>
      </w:pPr>
      <w:r w:rsidRPr="009F56B0">
        <w:tab/>
      </w:r>
    </w:p>
    <w:p w:rsidR="00D868E6" w:rsidRPr="009F56B0" w:rsidRDefault="00D868E6" w:rsidP="00D868E6">
      <w:pPr>
        <w:jc w:val="both"/>
      </w:pPr>
    </w:p>
    <w:p w:rsidR="00D868E6" w:rsidRPr="009F56B0" w:rsidRDefault="00D868E6" w:rsidP="00D868E6">
      <w:pPr>
        <w:jc w:val="both"/>
      </w:pPr>
    </w:p>
    <w:p w:rsidR="00D868E6" w:rsidRPr="009F56B0" w:rsidRDefault="00D868E6" w:rsidP="00D868E6">
      <w:pPr>
        <w:jc w:val="both"/>
      </w:pPr>
    </w:p>
    <w:p w:rsidR="00D868E6" w:rsidRPr="009F56B0" w:rsidRDefault="00D868E6" w:rsidP="00D868E6">
      <w:pPr>
        <w:tabs>
          <w:tab w:val="left" w:pos="720"/>
        </w:tabs>
        <w:jc w:val="both"/>
        <w:rPr>
          <w:i/>
          <w:lang w:val="ru-RU"/>
        </w:rPr>
      </w:pPr>
    </w:p>
    <w:p w:rsidR="00D868E6" w:rsidRPr="00BC33A8" w:rsidRDefault="00D868E6" w:rsidP="00D868E6">
      <w:pPr>
        <w:tabs>
          <w:tab w:val="left" w:pos="720"/>
        </w:tabs>
        <w:jc w:val="both"/>
        <w:rPr>
          <w:lang w:val="en-US"/>
        </w:rPr>
      </w:pPr>
      <w:r w:rsidRPr="009F56B0">
        <w:lastRenderedPageBreak/>
        <w:t xml:space="preserve">            През м. юли 2022 г. пр</w:t>
      </w:r>
      <w:r w:rsidR="00BC33A8">
        <w:t xml:space="preserve">и извършените 31 </w:t>
      </w:r>
      <w:proofErr w:type="spellStart"/>
      <w:r w:rsidR="00BC33A8">
        <w:t>пробонабирания.Н</w:t>
      </w:r>
      <w:r w:rsidRPr="009F56B0">
        <w:t>е</w:t>
      </w:r>
      <w:proofErr w:type="spellEnd"/>
      <w:r w:rsidRPr="009F56B0">
        <w:t xml:space="preserve"> са отчетени превишения на </w:t>
      </w:r>
      <w:proofErr w:type="spellStart"/>
      <w:r w:rsidRPr="009F56B0">
        <w:t>средноденонощната</w:t>
      </w:r>
      <w:proofErr w:type="spellEnd"/>
      <w:r w:rsidRPr="009F56B0">
        <w:t xml:space="preserve"> норма по показател ФПЧ</w:t>
      </w:r>
      <w:r w:rsidRPr="009F56B0">
        <w:rPr>
          <w:vertAlign w:val="subscript"/>
        </w:rPr>
        <w:t>10</w:t>
      </w:r>
      <w:r w:rsidRPr="009F56B0">
        <w:t>.</w:t>
      </w:r>
    </w:p>
    <w:p w:rsidR="00D868E6" w:rsidRPr="009F56B0" w:rsidRDefault="00D868E6" w:rsidP="00D868E6">
      <w:pPr>
        <w:jc w:val="both"/>
        <w:rPr>
          <w:sz w:val="20"/>
          <w:szCs w:val="20"/>
        </w:rPr>
      </w:pPr>
      <w:r w:rsidRPr="009F56B0">
        <w:rPr>
          <w:sz w:val="20"/>
          <w:szCs w:val="20"/>
          <w:lang w:val="ru-RU"/>
        </w:rPr>
        <w:t xml:space="preserve"> </w:t>
      </w:r>
    </w:p>
    <w:p w:rsidR="00D868E6" w:rsidRPr="009F56B0" w:rsidRDefault="00D868E6" w:rsidP="00D868E6">
      <w:pPr>
        <w:tabs>
          <w:tab w:val="left" w:pos="2100"/>
        </w:tabs>
        <w:rPr>
          <w:i/>
        </w:rPr>
      </w:pPr>
      <w:r w:rsidRPr="009F56B0">
        <w:rPr>
          <w:noProof/>
          <w:lang w:val="en-US" w:eastAsia="en-US"/>
        </w:rPr>
        <mc:AlternateContent>
          <mc:Choice Requires="wps">
            <w:drawing>
              <wp:anchor distT="0" distB="0" distL="114300" distR="114300" simplePos="0" relativeHeight="251677696" behindDoc="0" locked="0" layoutInCell="1" allowOverlap="1" wp14:anchorId="159C1D29" wp14:editId="211768A4">
                <wp:simplePos x="0" y="0"/>
                <wp:positionH relativeFrom="column">
                  <wp:posOffset>381000</wp:posOffset>
                </wp:positionH>
                <wp:positionV relativeFrom="paragraph">
                  <wp:posOffset>1478915</wp:posOffset>
                </wp:positionV>
                <wp:extent cx="6096000" cy="114935"/>
                <wp:effectExtent l="0" t="0" r="19050" b="0"/>
                <wp:wrapNone/>
                <wp:docPr id="2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14935"/>
                        </a:xfrm>
                        <a:custGeom>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noFill/>
                        <a:ln w="1905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9AB80" id="Freeform 135" o:spid="_x0000_s1026" style="position:absolute;margin-left:30pt;margin-top:116.45pt;width:480pt;height: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" path="m,l9510,e" filled="f" strokecolor="#36f" strokeweight="1.5pt">
                <v:path arrowok="t" o:connecttype="custom" o:connectlocs="0,0;6096000,0" o:connectangles="0,0"/>
              </v:shape>
            </w:pict>
          </mc:Fallback>
        </mc:AlternateContent>
      </w:r>
      <w:r w:rsidRPr="009F56B0">
        <w:rPr>
          <w:noProof/>
          <w:lang w:val="en-US" w:eastAsia="en-US"/>
        </w:rPr>
        <mc:AlternateContent>
          <mc:Choice Requires="wps">
            <w:drawing>
              <wp:anchor distT="0" distB="0" distL="114300" distR="114300" simplePos="0" relativeHeight="251678720" behindDoc="0" locked="0" layoutInCell="1" allowOverlap="1" wp14:anchorId="1A161EA4" wp14:editId="5DA242DB">
                <wp:simplePos x="0" y="0"/>
                <wp:positionH relativeFrom="column">
                  <wp:posOffset>-114300</wp:posOffset>
                </wp:positionH>
                <wp:positionV relativeFrom="paragraph">
                  <wp:posOffset>25400</wp:posOffset>
                </wp:positionV>
                <wp:extent cx="571500" cy="228600"/>
                <wp:effectExtent l="0" t="0" r="0" b="0"/>
                <wp:wrapNone/>
                <wp:docPr id="3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68E6" w:rsidRDefault="00D868E6" w:rsidP="00D868E6">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61EA4" id="_x0000_s1032" type="#_x0000_t202" style="position:absolute;margin-left:-9pt;margin-top:2pt;width:4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WBhAIAABg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" stroked="f">
                <v:textbox>
                  <w:txbxContent>
                    <w:p w:rsidR="00D868E6" w:rsidRDefault="00D868E6" w:rsidP="00D868E6">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r w:rsidRPr="009F56B0">
        <w:t xml:space="preserve">           </w:t>
      </w:r>
      <w:r w:rsidRPr="009F56B0">
        <w:rPr>
          <w:noProof/>
          <w:lang w:val="en-US" w:eastAsia="en-US"/>
        </w:rPr>
        <w:drawing>
          <wp:inline distT="0" distB="0" distL="0" distR="0" wp14:anchorId="34EBBE20" wp14:editId="52E9A10C">
            <wp:extent cx="6610350" cy="2612579"/>
            <wp:effectExtent l="0" t="0" r="0" b="0"/>
            <wp:docPr id="31"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F56B0">
        <w:t xml:space="preserve">                                                                                                                                        </w:t>
      </w:r>
      <w:r w:rsidRPr="009F56B0">
        <w:rPr>
          <w:i/>
        </w:rPr>
        <w:t>м. юли 2022 г.</w:t>
      </w:r>
    </w:p>
    <w:p w:rsidR="00D868E6" w:rsidRPr="009F56B0" w:rsidRDefault="00D868E6" w:rsidP="00D868E6">
      <w:pPr>
        <w:tabs>
          <w:tab w:val="left" w:pos="720"/>
        </w:tabs>
        <w:jc w:val="both"/>
        <w:rPr>
          <w:i/>
          <w:lang w:val="ru-RU"/>
        </w:rPr>
      </w:pPr>
    </w:p>
    <w:p w:rsidR="00D868E6" w:rsidRPr="009F56B0" w:rsidRDefault="00D868E6" w:rsidP="00D868E6">
      <w:pPr>
        <w:jc w:val="both"/>
      </w:pPr>
      <w:r w:rsidRPr="009F56B0">
        <w:t xml:space="preserve">През месец август 2022 г. са извършени 31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Констатирани са 3 (три) превишения на </w:t>
      </w:r>
      <w:proofErr w:type="spellStart"/>
      <w:r w:rsidRPr="009F56B0">
        <w:t>средноденонощната</w:t>
      </w:r>
      <w:proofErr w:type="spellEnd"/>
      <w:r w:rsidRPr="009F56B0">
        <w:t xml:space="preserve"> норма.</w:t>
      </w:r>
    </w:p>
    <w:p w:rsidR="00D868E6" w:rsidRPr="009F56B0" w:rsidRDefault="00D868E6" w:rsidP="00D868E6">
      <w:pPr>
        <w:tabs>
          <w:tab w:val="left" w:pos="720"/>
        </w:tabs>
        <w:jc w:val="both"/>
        <w:rPr>
          <w:lang w:val="ru-RU"/>
        </w:rPr>
      </w:pPr>
      <w:r w:rsidRPr="009F56B0">
        <w:rPr>
          <w:noProof/>
          <w:lang w:val="en-US" w:eastAsia="en-US"/>
        </w:rPr>
        <mc:AlternateContent>
          <mc:Choice Requires="wps">
            <w:drawing>
              <wp:anchor distT="0" distB="0" distL="114300" distR="114300" simplePos="0" relativeHeight="251681792" behindDoc="0" locked="0" layoutInCell="1" allowOverlap="1" wp14:anchorId="67D437E0" wp14:editId="53708981">
                <wp:simplePos x="0" y="0"/>
                <wp:positionH relativeFrom="column">
                  <wp:posOffset>0</wp:posOffset>
                </wp:positionH>
                <wp:positionV relativeFrom="paragraph">
                  <wp:posOffset>156210</wp:posOffset>
                </wp:positionV>
                <wp:extent cx="571500" cy="228600"/>
                <wp:effectExtent l="0" t="0" r="0" b="0"/>
                <wp:wrapNone/>
                <wp:docPr id="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68E6" w:rsidRDefault="00D868E6" w:rsidP="00D868E6">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437E0" id="_x0000_s1033" type="#_x0000_t202" style="position:absolute;left:0;text-align:left;margin-left:0;margin-top:12.3pt;width:4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kQhA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" stroked="f">
                <v:textbox>
                  <w:txbxContent>
                    <w:p w:rsidR="00D868E6" w:rsidRDefault="00D868E6" w:rsidP="00D868E6">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D868E6" w:rsidRPr="009F56B0" w:rsidRDefault="00D868E6" w:rsidP="00D868E6">
      <w:pPr>
        <w:tabs>
          <w:tab w:val="left" w:pos="720"/>
        </w:tabs>
        <w:jc w:val="both"/>
        <w:rPr>
          <w:i/>
        </w:rPr>
      </w:pPr>
      <w:r w:rsidRPr="009F56B0">
        <w:rPr>
          <w:noProof/>
          <w:lang w:val="en-US" w:eastAsia="en-US"/>
        </w:rPr>
        <mc:AlternateContent>
          <mc:Choice Requires="wps">
            <w:drawing>
              <wp:anchor distT="0" distB="0" distL="114300" distR="114300" simplePos="0" relativeHeight="251680768" behindDoc="0" locked="0" layoutInCell="1" allowOverlap="1" wp14:anchorId="1F5800BE" wp14:editId="0E213B90">
                <wp:simplePos x="0" y="0"/>
                <wp:positionH relativeFrom="column">
                  <wp:posOffset>361950</wp:posOffset>
                </wp:positionH>
                <wp:positionV relativeFrom="paragraph">
                  <wp:posOffset>1381125</wp:posOffset>
                </wp:positionV>
                <wp:extent cx="6076950" cy="45720"/>
                <wp:effectExtent l="0" t="0" r="19050" b="0"/>
                <wp:wrapNone/>
                <wp:docPr id="40"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76950" cy="45720"/>
                        </a:xfrm>
                        <a:custGeom>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noFill/>
                        <a:ln w="1905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B0FD3" id="Freeform 136" o:spid="_x0000_s1026" style="position:absolute;margin-left:28.5pt;margin-top:108.75pt;width:478.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" path="m,l9510,e" filled="f" strokecolor="#36f" strokeweight="1.5pt">
                <v:path arrowok="t" o:connecttype="custom" o:connectlocs="0,0;6076950,0" o:connectangles="0,0"/>
              </v:shape>
            </w:pict>
          </mc:Fallback>
        </mc:AlternateContent>
      </w:r>
      <w:r w:rsidRPr="009F56B0">
        <w:t xml:space="preserve">            </w:t>
      </w:r>
      <w:r w:rsidRPr="009F56B0">
        <w:rPr>
          <w:noProof/>
          <w:lang w:val="en-US" w:eastAsia="en-US"/>
        </w:rPr>
        <w:drawing>
          <wp:inline distT="0" distB="0" distL="0" distR="0" wp14:anchorId="2BF6C22E" wp14:editId="34842166">
            <wp:extent cx="6565624" cy="2594902"/>
            <wp:effectExtent l="0" t="0" r="6985" b="0"/>
            <wp:docPr id="43"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868E6" w:rsidRPr="009F56B0" w:rsidRDefault="00D868E6" w:rsidP="00D868E6">
      <w:pPr>
        <w:tabs>
          <w:tab w:val="left" w:pos="720"/>
        </w:tabs>
        <w:jc w:val="both"/>
        <w:rPr>
          <w:i/>
        </w:rPr>
      </w:pPr>
      <w:r w:rsidRPr="009F56B0">
        <w:t xml:space="preserve">                                                                                                                              </w:t>
      </w:r>
      <w:r w:rsidRPr="009F56B0">
        <w:rPr>
          <w:i/>
        </w:rPr>
        <w:t>м. август 2022 г.</w:t>
      </w:r>
    </w:p>
    <w:p w:rsidR="00D868E6" w:rsidRPr="009F56B0" w:rsidRDefault="00D868E6" w:rsidP="00D868E6">
      <w:pPr>
        <w:jc w:val="both"/>
      </w:pPr>
    </w:p>
    <w:p w:rsidR="00D868E6" w:rsidRPr="009F56B0" w:rsidRDefault="00D868E6" w:rsidP="00D868E6">
      <w:pPr>
        <w:jc w:val="both"/>
      </w:pPr>
    </w:p>
    <w:p w:rsidR="00D868E6" w:rsidRPr="009F56B0" w:rsidRDefault="00D868E6" w:rsidP="00D868E6">
      <w:pPr>
        <w:jc w:val="both"/>
      </w:pPr>
    </w:p>
    <w:p w:rsidR="00D868E6" w:rsidRPr="009F56B0" w:rsidRDefault="00D868E6" w:rsidP="00D868E6">
      <w:pPr>
        <w:jc w:val="both"/>
      </w:pPr>
    </w:p>
    <w:p w:rsidR="00D868E6" w:rsidRPr="009F56B0" w:rsidRDefault="00D868E6" w:rsidP="00D868E6">
      <w:pPr>
        <w:jc w:val="both"/>
      </w:pPr>
    </w:p>
    <w:p w:rsidR="00136534" w:rsidRPr="009F56B0" w:rsidRDefault="00136534" w:rsidP="00136534">
      <w:pPr>
        <w:tabs>
          <w:tab w:val="left" w:pos="720"/>
        </w:tabs>
        <w:jc w:val="both"/>
      </w:pPr>
      <w:r w:rsidRPr="009F56B0">
        <w:lastRenderedPageBreak/>
        <w:t xml:space="preserve">            През м. септември 2022 г. са извършени 29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Превишения на </w:t>
      </w:r>
      <w:proofErr w:type="spellStart"/>
      <w:r w:rsidRPr="009F56B0">
        <w:t>средноденонощната</w:t>
      </w:r>
      <w:proofErr w:type="spellEnd"/>
      <w:r w:rsidRPr="009F56B0">
        <w:t xml:space="preserve"> норма не са констатирани.</w:t>
      </w:r>
    </w:p>
    <w:p w:rsidR="00136534" w:rsidRPr="009F56B0" w:rsidRDefault="00136534" w:rsidP="00136534">
      <w:pPr>
        <w:tabs>
          <w:tab w:val="left" w:pos="2100"/>
        </w:tabs>
        <w:jc w:val="both"/>
      </w:pPr>
      <w:r w:rsidRPr="009F56B0">
        <w:rPr>
          <w:noProof/>
          <w:lang w:val="en-US" w:eastAsia="en-US"/>
        </w:rPr>
        <mc:AlternateContent>
          <mc:Choice Requires="wps">
            <w:drawing>
              <wp:anchor distT="0" distB="0" distL="114300" distR="114300" simplePos="0" relativeHeight="251683840" behindDoc="0" locked="0" layoutInCell="1" allowOverlap="1" wp14:anchorId="4C0212DB" wp14:editId="069A3C5F">
                <wp:simplePos x="0" y="0"/>
                <wp:positionH relativeFrom="column">
                  <wp:posOffset>-123825</wp:posOffset>
                </wp:positionH>
                <wp:positionV relativeFrom="paragraph">
                  <wp:posOffset>53340</wp:posOffset>
                </wp:positionV>
                <wp:extent cx="685800" cy="342900"/>
                <wp:effectExtent l="0" t="0" r="0" b="0"/>
                <wp:wrapNone/>
                <wp:docPr id="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6534" w:rsidRDefault="00136534" w:rsidP="00136534">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212DB" id="_x0000_s1034" type="#_x0000_t202" style="position:absolute;left:0;text-align:left;margin-left:-9.75pt;margin-top:4.2pt;width:54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q7ygwIAABc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" stroked="f">
                <v:textbox>
                  <w:txbxContent>
                    <w:p w:rsidR="00136534" w:rsidRDefault="00136534" w:rsidP="00136534">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136534" w:rsidRPr="009F56B0" w:rsidRDefault="00136534" w:rsidP="00136534">
      <w:pPr>
        <w:tabs>
          <w:tab w:val="left" w:pos="2100"/>
        </w:tabs>
        <w:jc w:val="both"/>
        <w:rPr>
          <w:i/>
        </w:rPr>
      </w:pPr>
      <w:r w:rsidRPr="009F56B0">
        <w:rPr>
          <w:noProof/>
          <w:lang w:val="en-US" w:eastAsia="en-US"/>
        </w:rPr>
        <mc:AlternateContent>
          <mc:Choice Requires="wps">
            <w:drawing>
              <wp:anchor distT="0" distB="0" distL="114300" distR="114300" simplePos="0" relativeHeight="251684864" behindDoc="0" locked="0" layoutInCell="1" allowOverlap="1" wp14:anchorId="660AAFB2" wp14:editId="43033FCB">
                <wp:simplePos x="0" y="0"/>
                <wp:positionH relativeFrom="column">
                  <wp:posOffset>285750</wp:posOffset>
                </wp:positionH>
                <wp:positionV relativeFrom="paragraph">
                  <wp:posOffset>1365885</wp:posOffset>
                </wp:positionV>
                <wp:extent cx="6105525" cy="45720"/>
                <wp:effectExtent l="0" t="0" r="28575" b="0"/>
                <wp:wrapNone/>
                <wp:docPr id="6"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5525" cy="45720"/>
                        </a:xfrm>
                        <a:custGeom>
                          <a:avLst/>
                          <a:gdLst>
                            <a:gd name="T0" fmla="*/ 0 w 9555"/>
                            <a:gd name="T1" fmla="*/ 0 h 1"/>
                            <a:gd name="T2" fmla="*/ 9555 w 9555"/>
                            <a:gd name="T3" fmla="*/ 0 h 1"/>
                          </a:gdLst>
                          <a:ahLst/>
                          <a:cxnLst>
                            <a:cxn ang="0">
                              <a:pos x="T0" y="T1"/>
                            </a:cxn>
                            <a:cxn ang="0">
                              <a:pos x="T2" y="T3"/>
                            </a:cxn>
                          </a:cxnLst>
                          <a:rect l="0" t="0" r="r" b="b"/>
                          <a:pathLst>
                            <a:path w="9555" h="1">
                              <a:moveTo>
                                <a:pt x="0" y="0"/>
                              </a:moveTo>
                              <a:lnTo>
                                <a:pt x="9555" y="0"/>
                              </a:lnTo>
                            </a:path>
                          </a:pathLst>
                        </a:custGeom>
                        <a:noFill/>
                        <a:ln w="19050">
                          <a:solidFill>
                            <a:srgbClr val="3366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BE7A3" id="Freeform 144" o:spid="_x0000_s1026" style="position:absolute;margin-left:22.5pt;margin-top:107.55pt;width:480.7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" path="m,l9555,e" filled="f" strokecolor="#36f" strokeweight="1.5pt">
                <v:path arrowok="t" o:connecttype="custom" o:connectlocs="0,0;6105525,0" o:connectangles="0,0"/>
              </v:shape>
            </w:pict>
          </mc:Fallback>
        </mc:AlternateContent>
      </w:r>
      <w:r w:rsidRPr="009F56B0">
        <w:t xml:space="preserve">  </w:t>
      </w:r>
      <w:r w:rsidRPr="009F56B0">
        <w:rPr>
          <w:noProof/>
          <w:lang w:val="en-US" w:eastAsia="en-US"/>
        </w:rPr>
        <w:drawing>
          <wp:inline distT="0" distB="0" distL="0" distR="0" wp14:anchorId="6EB31972" wp14:editId="67E42E49">
            <wp:extent cx="6450496" cy="2634692"/>
            <wp:effectExtent l="0" t="0" r="7620" b="0"/>
            <wp:docPr id="44"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F56B0">
        <w:rPr>
          <w:i/>
        </w:rPr>
        <w:t xml:space="preserve">                                                                                                 </w:t>
      </w:r>
      <w:r w:rsidR="002212AB" w:rsidRPr="009F56B0">
        <w:rPr>
          <w:i/>
        </w:rPr>
        <w:t xml:space="preserve">                          </w:t>
      </w:r>
      <w:r w:rsidRPr="009F56B0">
        <w:rPr>
          <w:i/>
        </w:rPr>
        <w:t xml:space="preserve"> м. септември 2022 г.</w:t>
      </w:r>
    </w:p>
    <w:p w:rsidR="00D868E6" w:rsidRPr="009F56B0" w:rsidRDefault="00D868E6" w:rsidP="00D868E6">
      <w:pPr>
        <w:jc w:val="both"/>
      </w:pPr>
    </w:p>
    <w:p w:rsidR="00D868E6" w:rsidRPr="009F56B0" w:rsidRDefault="00D868E6" w:rsidP="00D868E6">
      <w:pPr>
        <w:jc w:val="both"/>
      </w:pPr>
    </w:p>
    <w:p w:rsidR="005D7371" w:rsidRPr="009F56B0" w:rsidRDefault="005D7371" w:rsidP="005D7371">
      <w:pPr>
        <w:tabs>
          <w:tab w:val="left" w:pos="720"/>
        </w:tabs>
        <w:jc w:val="both"/>
      </w:pPr>
      <w:r w:rsidRPr="009F56B0">
        <w:t xml:space="preserve">            През м. октомври 2022 г. са извършени 29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Констатирани са 2 (две) превишения на </w:t>
      </w:r>
      <w:proofErr w:type="spellStart"/>
      <w:r w:rsidRPr="009F56B0">
        <w:t>средноденонощната</w:t>
      </w:r>
      <w:proofErr w:type="spellEnd"/>
      <w:r w:rsidRPr="009F56B0">
        <w:t xml:space="preserve"> норма</w:t>
      </w:r>
    </w:p>
    <w:p w:rsidR="005D7371" w:rsidRPr="009F56B0" w:rsidRDefault="005D7371" w:rsidP="005D7371">
      <w:r w:rsidRPr="009F56B0">
        <w:rPr>
          <w:sz w:val="20"/>
          <w:szCs w:val="20"/>
        </w:rPr>
        <w:t xml:space="preserve">  </w:t>
      </w:r>
      <w:proofErr w:type="spellStart"/>
      <w:r w:rsidRPr="009F56B0">
        <w:rPr>
          <w:sz w:val="20"/>
          <w:szCs w:val="20"/>
        </w:rPr>
        <w:t>μg</w:t>
      </w:r>
      <w:proofErr w:type="spellEnd"/>
      <w:r w:rsidRPr="009F56B0">
        <w:rPr>
          <w:sz w:val="20"/>
          <w:szCs w:val="20"/>
        </w:rPr>
        <w:t>/m</w:t>
      </w:r>
      <w:r w:rsidRPr="009F56B0">
        <w:rPr>
          <w:sz w:val="20"/>
          <w:szCs w:val="20"/>
          <w:vertAlign w:val="superscript"/>
        </w:rPr>
        <w:t>3</w:t>
      </w:r>
    </w:p>
    <w:p w:rsidR="00D868E6" w:rsidRPr="009F56B0" w:rsidRDefault="005D7371" w:rsidP="00D868E6">
      <w:pPr>
        <w:jc w:val="both"/>
      </w:pPr>
      <w:r w:rsidRPr="009F56B0">
        <w:rPr>
          <w:noProof/>
          <w:lang w:val="en-US" w:eastAsia="en-US"/>
        </w:rPr>
        <w:drawing>
          <wp:inline distT="0" distB="0" distL="0" distR="0" wp14:anchorId="37D09ABC" wp14:editId="58CCED92">
            <wp:extent cx="6549887" cy="2619820"/>
            <wp:effectExtent l="0" t="0" r="3810" b="0"/>
            <wp:docPr id="45" name="Диаграма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7371" w:rsidRPr="009F56B0" w:rsidRDefault="005D7371" w:rsidP="005D7371">
      <w:pPr>
        <w:pStyle w:val="a7"/>
      </w:pPr>
      <w:r w:rsidRPr="009F56B0">
        <w:tab/>
      </w:r>
      <w:r w:rsidRPr="009F56B0">
        <w:tab/>
      </w:r>
      <w:r w:rsidRPr="009F56B0">
        <w:tab/>
      </w:r>
      <w:r w:rsidRPr="009F56B0">
        <w:tab/>
      </w:r>
      <w:r w:rsidRPr="009F56B0">
        <w:tab/>
      </w:r>
      <w:r w:rsidRPr="009F56B0">
        <w:tab/>
      </w:r>
      <w:r w:rsidRPr="009F56B0">
        <w:tab/>
      </w:r>
      <w:r w:rsidRPr="009F56B0">
        <w:tab/>
      </w:r>
      <w:r w:rsidRPr="009F56B0">
        <w:tab/>
        <w:t xml:space="preserve">    </w:t>
      </w:r>
      <w:r w:rsidRPr="009F56B0">
        <w:rPr>
          <w:i/>
        </w:rPr>
        <w:t xml:space="preserve">  м. октомври 2022 г.</w:t>
      </w:r>
      <w:r w:rsidR="00136534" w:rsidRPr="009F56B0">
        <w:t xml:space="preserve">                  </w:t>
      </w:r>
    </w:p>
    <w:p w:rsidR="005D7371" w:rsidRPr="009F56B0" w:rsidRDefault="005D7371" w:rsidP="005D7371">
      <w:pPr>
        <w:pStyle w:val="a7"/>
      </w:pPr>
    </w:p>
    <w:p w:rsidR="00861DA9" w:rsidRPr="009F56B0" w:rsidRDefault="00861DA9" w:rsidP="005D7371">
      <w:pPr>
        <w:pStyle w:val="a7"/>
      </w:pPr>
    </w:p>
    <w:p w:rsidR="00861DA9" w:rsidRPr="009F56B0" w:rsidRDefault="00861DA9" w:rsidP="005D7371">
      <w:pPr>
        <w:pStyle w:val="a7"/>
      </w:pPr>
    </w:p>
    <w:p w:rsidR="00861DA9" w:rsidRPr="009F56B0" w:rsidRDefault="00861DA9" w:rsidP="005D7371">
      <w:pPr>
        <w:pStyle w:val="a7"/>
      </w:pPr>
    </w:p>
    <w:p w:rsidR="00861DA9" w:rsidRPr="009F56B0" w:rsidRDefault="00861DA9" w:rsidP="005D7371">
      <w:pPr>
        <w:pStyle w:val="a7"/>
      </w:pPr>
    </w:p>
    <w:p w:rsidR="00861DA9" w:rsidRPr="009F56B0" w:rsidRDefault="00861DA9" w:rsidP="005D7371">
      <w:pPr>
        <w:pStyle w:val="a7"/>
      </w:pPr>
    </w:p>
    <w:p w:rsidR="00861DA9" w:rsidRPr="009F56B0" w:rsidRDefault="005D7371" w:rsidP="00861DA9">
      <w:pPr>
        <w:tabs>
          <w:tab w:val="left" w:pos="720"/>
        </w:tabs>
        <w:jc w:val="both"/>
      </w:pPr>
      <w:r w:rsidRPr="009F56B0">
        <w:lastRenderedPageBreak/>
        <w:t xml:space="preserve">            През м. ноември 2022 г. са извършени </w:t>
      </w:r>
      <w:r w:rsidR="00861DA9" w:rsidRPr="009F56B0">
        <w:t>30</w:t>
      </w:r>
      <w:r w:rsidRPr="009F56B0">
        <w:t xml:space="preserve">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w:t>
      </w:r>
      <w:r w:rsidR="00861DA9" w:rsidRPr="009F56B0">
        <w:t xml:space="preserve">Констатирани са 8 (осем) превишения на </w:t>
      </w:r>
      <w:proofErr w:type="spellStart"/>
      <w:r w:rsidR="00861DA9" w:rsidRPr="009F56B0">
        <w:t>средноденонощната</w:t>
      </w:r>
      <w:proofErr w:type="spellEnd"/>
      <w:r w:rsidR="00861DA9" w:rsidRPr="009F56B0">
        <w:t xml:space="preserve"> норма</w:t>
      </w:r>
    </w:p>
    <w:p w:rsidR="005D7371" w:rsidRPr="009F56B0" w:rsidRDefault="005D7371" w:rsidP="005D7371">
      <w:r w:rsidRPr="009F56B0">
        <w:rPr>
          <w:sz w:val="20"/>
          <w:szCs w:val="20"/>
        </w:rPr>
        <w:t xml:space="preserve">  </w:t>
      </w:r>
      <w:proofErr w:type="spellStart"/>
      <w:r w:rsidRPr="009F56B0">
        <w:rPr>
          <w:sz w:val="20"/>
          <w:szCs w:val="20"/>
        </w:rPr>
        <w:t>μg</w:t>
      </w:r>
      <w:proofErr w:type="spellEnd"/>
      <w:r w:rsidRPr="009F56B0">
        <w:rPr>
          <w:sz w:val="20"/>
          <w:szCs w:val="20"/>
        </w:rPr>
        <w:t>/m</w:t>
      </w:r>
      <w:r w:rsidRPr="009F56B0">
        <w:rPr>
          <w:sz w:val="20"/>
          <w:szCs w:val="20"/>
          <w:vertAlign w:val="superscript"/>
        </w:rPr>
        <w:t>3</w:t>
      </w:r>
    </w:p>
    <w:p w:rsidR="005D7371" w:rsidRPr="009F56B0" w:rsidRDefault="005D7371" w:rsidP="005D7371">
      <w:pPr>
        <w:jc w:val="both"/>
      </w:pPr>
      <w:r w:rsidRPr="009F56B0">
        <w:rPr>
          <w:noProof/>
          <w:lang w:val="en-US" w:eastAsia="en-US"/>
        </w:rPr>
        <w:drawing>
          <wp:inline distT="0" distB="0" distL="0" distR="0" wp14:anchorId="48C2DA9F" wp14:editId="7649E4C5">
            <wp:extent cx="6669156" cy="2667525"/>
            <wp:effectExtent l="0" t="0" r="0" b="0"/>
            <wp:docPr id="46" name="Диаграма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D7371" w:rsidRPr="009F56B0" w:rsidRDefault="005D7371" w:rsidP="005D7371">
      <w:pPr>
        <w:pStyle w:val="a7"/>
      </w:pPr>
      <w:r w:rsidRPr="009F56B0">
        <w:tab/>
      </w:r>
      <w:r w:rsidRPr="009F56B0">
        <w:tab/>
      </w:r>
      <w:r w:rsidRPr="009F56B0">
        <w:tab/>
      </w:r>
      <w:r w:rsidRPr="009F56B0">
        <w:tab/>
      </w:r>
      <w:r w:rsidRPr="009F56B0">
        <w:tab/>
      </w:r>
      <w:r w:rsidRPr="009F56B0">
        <w:tab/>
      </w:r>
      <w:r w:rsidRPr="009F56B0">
        <w:tab/>
      </w:r>
      <w:r w:rsidRPr="009F56B0">
        <w:tab/>
      </w:r>
      <w:r w:rsidRPr="009F56B0">
        <w:tab/>
        <w:t xml:space="preserve">    </w:t>
      </w:r>
      <w:r w:rsidRPr="009F56B0">
        <w:rPr>
          <w:i/>
        </w:rPr>
        <w:t xml:space="preserve">  м. ноември 2022 г.</w:t>
      </w:r>
      <w:r w:rsidRPr="009F56B0">
        <w:t xml:space="preserve">                  </w:t>
      </w:r>
    </w:p>
    <w:p w:rsidR="00861DA9" w:rsidRPr="009F56B0" w:rsidRDefault="00861DA9" w:rsidP="005D7371">
      <w:pPr>
        <w:pStyle w:val="a7"/>
      </w:pPr>
    </w:p>
    <w:p w:rsidR="00861DA9" w:rsidRPr="009F56B0" w:rsidRDefault="00861DA9" w:rsidP="005D7371">
      <w:pPr>
        <w:pStyle w:val="a7"/>
      </w:pPr>
    </w:p>
    <w:p w:rsidR="00861DA9" w:rsidRPr="009F56B0" w:rsidRDefault="00861DA9" w:rsidP="00861DA9">
      <w:pPr>
        <w:pStyle w:val="a7"/>
      </w:pPr>
      <w:r w:rsidRPr="009F56B0">
        <w:t xml:space="preserve">            През м. декември 2022 г. са извършени 31 </w:t>
      </w:r>
      <w:proofErr w:type="spellStart"/>
      <w:r w:rsidRPr="009F56B0">
        <w:t>пробонабирания</w:t>
      </w:r>
      <w:proofErr w:type="spellEnd"/>
      <w:r w:rsidRPr="009F56B0">
        <w:t xml:space="preserve"> по показател  ФПЧ</w:t>
      </w:r>
      <w:r w:rsidRPr="009F56B0">
        <w:rPr>
          <w:vertAlign w:val="subscript"/>
        </w:rPr>
        <w:t>10</w:t>
      </w:r>
      <w:r w:rsidRPr="009F56B0">
        <w:t xml:space="preserve">. Констатирани са 9 (девет) превишения на </w:t>
      </w:r>
      <w:proofErr w:type="spellStart"/>
      <w:r w:rsidRPr="009F56B0">
        <w:t>средноденонощната</w:t>
      </w:r>
      <w:proofErr w:type="spellEnd"/>
      <w:r w:rsidRPr="009F56B0">
        <w:t xml:space="preserve"> норма</w:t>
      </w:r>
    </w:p>
    <w:p w:rsidR="00861DA9" w:rsidRPr="009F56B0" w:rsidRDefault="00861DA9" w:rsidP="00861DA9">
      <w:pPr>
        <w:pStyle w:val="a7"/>
      </w:pPr>
      <w:r w:rsidRPr="009F56B0">
        <w:t xml:space="preserve">  </w:t>
      </w:r>
      <w:proofErr w:type="spellStart"/>
      <w:r w:rsidRPr="009F56B0">
        <w:t>μg</w:t>
      </w:r>
      <w:proofErr w:type="spellEnd"/>
      <w:r w:rsidRPr="009F56B0">
        <w:t>/m</w:t>
      </w:r>
      <w:r w:rsidRPr="009F56B0">
        <w:rPr>
          <w:vertAlign w:val="superscript"/>
        </w:rPr>
        <w:t>3</w:t>
      </w:r>
    </w:p>
    <w:p w:rsidR="00861DA9" w:rsidRPr="009F56B0" w:rsidRDefault="00861DA9" w:rsidP="00861DA9">
      <w:pPr>
        <w:pStyle w:val="a7"/>
      </w:pPr>
      <w:r w:rsidRPr="009F56B0">
        <w:rPr>
          <w:noProof/>
          <w:lang w:val="en-US" w:eastAsia="en-US"/>
        </w:rPr>
        <w:drawing>
          <wp:inline distT="0" distB="0" distL="0" distR="0" wp14:anchorId="0BDA3FB2" wp14:editId="4ECA5951">
            <wp:extent cx="6669156" cy="2667525"/>
            <wp:effectExtent l="0" t="0" r="0" b="0"/>
            <wp:docPr id="47" name="Диаграма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61DA9" w:rsidRPr="009F56B0" w:rsidRDefault="005D7371" w:rsidP="00861DA9">
      <w:pPr>
        <w:pStyle w:val="a7"/>
      </w:pPr>
      <w:r w:rsidRPr="009F56B0">
        <w:tab/>
      </w:r>
      <w:r w:rsidRPr="009F56B0">
        <w:tab/>
      </w:r>
      <w:r w:rsidRPr="009F56B0">
        <w:tab/>
      </w:r>
      <w:r w:rsidRPr="009F56B0">
        <w:tab/>
      </w:r>
      <w:r w:rsidRPr="009F56B0">
        <w:tab/>
      </w:r>
      <w:r w:rsidRPr="009F56B0">
        <w:tab/>
      </w:r>
      <w:r w:rsidRPr="009F56B0">
        <w:tab/>
      </w:r>
      <w:r w:rsidRPr="009F56B0">
        <w:tab/>
      </w:r>
      <w:r w:rsidRPr="009F56B0">
        <w:tab/>
      </w:r>
      <w:r w:rsidR="00861DA9" w:rsidRPr="009F56B0">
        <w:t xml:space="preserve">    </w:t>
      </w:r>
      <w:r w:rsidRPr="009F56B0">
        <w:rPr>
          <w:i/>
        </w:rPr>
        <w:t xml:space="preserve">  м. </w:t>
      </w:r>
      <w:r w:rsidR="00AB1B3F" w:rsidRPr="009F56B0">
        <w:rPr>
          <w:i/>
        </w:rPr>
        <w:t>декември</w:t>
      </w:r>
      <w:r w:rsidRPr="009F56B0">
        <w:rPr>
          <w:i/>
        </w:rPr>
        <w:t xml:space="preserve"> 2022 г.</w:t>
      </w:r>
      <w:r w:rsidR="00136534" w:rsidRPr="009F56B0">
        <w:t xml:space="preserve">                  </w:t>
      </w:r>
    </w:p>
    <w:p w:rsidR="00861DA9" w:rsidRPr="009F56B0" w:rsidRDefault="00861DA9" w:rsidP="00861DA9">
      <w:pPr>
        <w:pStyle w:val="a7"/>
      </w:pPr>
    </w:p>
    <w:p w:rsidR="00D868E6" w:rsidRDefault="00D868E6" w:rsidP="006B0D17">
      <w:pPr>
        <w:tabs>
          <w:tab w:val="left" w:pos="720"/>
        </w:tabs>
        <w:jc w:val="both"/>
        <w:rPr>
          <w:i/>
        </w:rPr>
      </w:pPr>
    </w:p>
    <w:p w:rsidR="00497CEB" w:rsidRPr="002212AB" w:rsidRDefault="00745FEC" w:rsidP="00497CEB">
      <w:pPr>
        <w:tabs>
          <w:tab w:val="left" w:pos="810"/>
        </w:tabs>
        <w:jc w:val="both"/>
        <w:rPr>
          <w:color w:val="A8D08D" w:themeColor="accent6" w:themeTint="99"/>
        </w:rPr>
      </w:pPr>
      <w:r>
        <w:rPr>
          <w:lang w:eastAsia="en-US"/>
        </w:rPr>
        <w:t xml:space="preserve">              Р</w:t>
      </w:r>
      <w:r w:rsidR="00D868E6" w:rsidRPr="00497CEB">
        <w:rPr>
          <w:lang w:eastAsia="en-US"/>
        </w:rPr>
        <w:t>азпределението на наднормените превишения е неравномерно и е в пряка зависимост от годишния сезон. През пролетно-летния сезон (01.04.20</w:t>
      </w:r>
      <w:r w:rsidR="00D868E6" w:rsidRPr="00497CEB">
        <w:rPr>
          <w:lang w:val="en-US" w:eastAsia="en-US"/>
        </w:rPr>
        <w:t>2</w:t>
      </w:r>
      <w:r w:rsidR="00975679" w:rsidRPr="00497CEB">
        <w:rPr>
          <w:lang w:val="en-US" w:eastAsia="en-US"/>
        </w:rPr>
        <w:t>2</w:t>
      </w:r>
      <w:r w:rsidR="00D868E6" w:rsidRPr="00497CEB">
        <w:rPr>
          <w:lang w:eastAsia="en-US"/>
        </w:rPr>
        <w:t xml:space="preserve"> г. – </w:t>
      </w:r>
      <w:r w:rsidR="00D868E6" w:rsidRPr="00497CEB">
        <w:rPr>
          <w:lang w:val="ru-RU" w:eastAsia="en-US"/>
        </w:rPr>
        <w:t>30</w:t>
      </w:r>
      <w:r w:rsidR="00D868E6" w:rsidRPr="00497CEB">
        <w:rPr>
          <w:lang w:eastAsia="en-US"/>
        </w:rPr>
        <w:t>.0</w:t>
      </w:r>
      <w:r w:rsidR="00D868E6" w:rsidRPr="00497CEB">
        <w:rPr>
          <w:lang w:val="ru-RU" w:eastAsia="en-US"/>
        </w:rPr>
        <w:t>9</w:t>
      </w:r>
      <w:r w:rsidR="00D868E6" w:rsidRPr="00497CEB">
        <w:rPr>
          <w:lang w:eastAsia="en-US"/>
        </w:rPr>
        <w:t>.20</w:t>
      </w:r>
      <w:r w:rsidR="00D868E6" w:rsidRPr="00497CEB">
        <w:rPr>
          <w:lang w:val="en-US" w:eastAsia="en-US"/>
        </w:rPr>
        <w:t>2</w:t>
      </w:r>
      <w:r w:rsidR="00975679" w:rsidRPr="00497CEB">
        <w:rPr>
          <w:lang w:val="en-US" w:eastAsia="en-US"/>
        </w:rPr>
        <w:t>2</w:t>
      </w:r>
      <w:r w:rsidR="00D868E6" w:rsidRPr="00497CEB">
        <w:rPr>
          <w:lang w:eastAsia="en-US"/>
        </w:rPr>
        <w:t xml:space="preserve"> г.) са регистрирани </w:t>
      </w:r>
      <w:r w:rsidR="00D868E6" w:rsidRPr="00497CEB">
        <w:rPr>
          <w:lang w:val="ru-RU" w:eastAsia="en-US"/>
        </w:rPr>
        <w:t>4</w:t>
      </w:r>
      <w:r w:rsidR="00D868E6" w:rsidRPr="00497CEB">
        <w:rPr>
          <w:lang w:eastAsia="en-US"/>
        </w:rPr>
        <w:t xml:space="preserve"> броя превишения над </w:t>
      </w:r>
      <w:proofErr w:type="spellStart"/>
      <w:r w:rsidR="00D868E6" w:rsidRPr="00497CEB">
        <w:rPr>
          <w:lang w:eastAsia="en-US"/>
        </w:rPr>
        <w:t>средноденонощната</w:t>
      </w:r>
      <w:proofErr w:type="spellEnd"/>
      <w:r w:rsidR="00D868E6" w:rsidRPr="00497CEB">
        <w:rPr>
          <w:lang w:eastAsia="en-US"/>
        </w:rPr>
        <w:t xml:space="preserve"> норма, а през есенно-зимния сезон (01.01.20</w:t>
      </w:r>
      <w:r w:rsidR="00975679" w:rsidRPr="00497CEB">
        <w:rPr>
          <w:lang w:val="en-US" w:eastAsia="en-US"/>
        </w:rPr>
        <w:t>22</w:t>
      </w:r>
      <w:r w:rsidR="00D868E6" w:rsidRPr="00497CEB">
        <w:rPr>
          <w:lang w:eastAsia="en-US"/>
        </w:rPr>
        <w:t>г. – 31.03.20</w:t>
      </w:r>
      <w:r w:rsidR="00975679" w:rsidRPr="00497CEB">
        <w:rPr>
          <w:lang w:val="en-US" w:eastAsia="en-US"/>
        </w:rPr>
        <w:t>22</w:t>
      </w:r>
      <w:r w:rsidR="00D868E6" w:rsidRPr="00497CEB">
        <w:rPr>
          <w:lang w:eastAsia="en-US"/>
        </w:rPr>
        <w:t xml:space="preserve"> г. и </w:t>
      </w:r>
      <w:r w:rsidR="00D868E6" w:rsidRPr="00497CEB">
        <w:rPr>
          <w:lang w:val="ru-RU" w:eastAsia="en-US"/>
        </w:rPr>
        <w:t>01</w:t>
      </w:r>
      <w:r w:rsidR="00D868E6" w:rsidRPr="00497CEB">
        <w:rPr>
          <w:lang w:eastAsia="en-US"/>
        </w:rPr>
        <w:t>.</w:t>
      </w:r>
      <w:r w:rsidR="00D868E6" w:rsidRPr="00497CEB">
        <w:rPr>
          <w:lang w:val="ru-RU" w:eastAsia="en-US"/>
        </w:rPr>
        <w:t>10</w:t>
      </w:r>
      <w:r w:rsidR="00D868E6" w:rsidRPr="00497CEB">
        <w:rPr>
          <w:lang w:eastAsia="en-US"/>
        </w:rPr>
        <w:t>.20</w:t>
      </w:r>
      <w:r w:rsidR="00975679" w:rsidRPr="00497CEB">
        <w:rPr>
          <w:lang w:val="en-US" w:eastAsia="en-US"/>
        </w:rPr>
        <w:t>22</w:t>
      </w:r>
      <w:r w:rsidR="00D868E6" w:rsidRPr="00497CEB">
        <w:rPr>
          <w:lang w:eastAsia="en-US"/>
        </w:rPr>
        <w:t xml:space="preserve"> г. – 31.12.20</w:t>
      </w:r>
      <w:r w:rsidR="00975679" w:rsidRPr="00497CEB">
        <w:rPr>
          <w:lang w:val="en-US" w:eastAsia="en-US"/>
        </w:rPr>
        <w:t>22</w:t>
      </w:r>
      <w:r w:rsidR="00D868E6" w:rsidRPr="00497CEB">
        <w:rPr>
          <w:lang w:eastAsia="en-US"/>
        </w:rPr>
        <w:t xml:space="preserve"> г.) превишенията са </w:t>
      </w:r>
      <w:r w:rsidR="00975679" w:rsidRPr="00497CEB">
        <w:rPr>
          <w:lang w:val="en-US" w:eastAsia="en-US"/>
        </w:rPr>
        <w:t>3</w:t>
      </w:r>
      <w:r w:rsidR="00D868E6" w:rsidRPr="00497CEB">
        <w:rPr>
          <w:lang w:eastAsia="en-US"/>
        </w:rPr>
        <w:t xml:space="preserve">6 броя. </w:t>
      </w:r>
      <w:r w:rsidR="00D868E6" w:rsidRPr="00497CEB">
        <w:rPr>
          <w:lang w:eastAsia="en-US"/>
        </w:rPr>
        <w:lastRenderedPageBreak/>
        <w:t xml:space="preserve">Най-много дни с установени превишения на нормата за фини </w:t>
      </w:r>
      <w:proofErr w:type="spellStart"/>
      <w:r w:rsidR="00D868E6" w:rsidRPr="00497CEB">
        <w:rPr>
          <w:lang w:eastAsia="en-US"/>
        </w:rPr>
        <w:t>прахови</w:t>
      </w:r>
      <w:proofErr w:type="spellEnd"/>
      <w:r w:rsidR="00D868E6" w:rsidRPr="00497CEB">
        <w:rPr>
          <w:lang w:eastAsia="en-US"/>
        </w:rPr>
        <w:t xml:space="preserve"> частици има през </w:t>
      </w:r>
      <w:r w:rsidR="00497CEB" w:rsidRPr="00497CEB">
        <w:rPr>
          <w:lang w:eastAsia="en-US"/>
        </w:rPr>
        <w:t>четвъртото</w:t>
      </w:r>
      <w:r w:rsidR="00D868E6" w:rsidRPr="00497CEB">
        <w:rPr>
          <w:lang w:eastAsia="en-US"/>
        </w:rPr>
        <w:t xml:space="preserve"> тримесечие</w:t>
      </w:r>
      <w:r w:rsidR="00497CEB" w:rsidRPr="00497CEB">
        <w:rPr>
          <w:lang w:val="ru-RU" w:eastAsia="en-US"/>
        </w:rPr>
        <w:t>(</w:t>
      </w:r>
      <w:r w:rsidR="00497CEB" w:rsidRPr="00497CEB">
        <w:rPr>
          <w:lang w:eastAsia="en-US"/>
        </w:rPr>
        <w:t>октомври, ноември и декември</w:t>
      </w:r>
      <w:r w:rsidR="00497CEB" w:rsidRPr="00497CEB">
        <w:rPr>
          <w:lang w:val="ru-RU" w:eastAsia="en-US"/>
        </w:rPr>
        <w:t>)</w:t>
      </w:r>
      <w:r w:rsidR="00D868E6" w:rsidRPr="00497CEB">
        <w:rPr>
          <w:lang w:eastAsia="en-US"/>
        </w:rPr>
        <w:t xml:space="preserve"> </w:t>
      </w:r>
      <w:r w:rsidR="00D868E6" w:rsidRPr="00497CEB">
        <w:rPr>
          <w:lang w:val="ru-RU" w:eastAsia="en-US"/>
        </w:rPr>
        <w:t xml:space="preserve">– </w:t>
      </w:r>
      <w:r w:rsidR="00497CEB" w:rsidRPr="00497CEB">
        <w:rPr>
          <w:lang w:val="ru-RU" w:eastAsia="en-US"/>
        </w:rPr>
        <w:t>19</w:t>
      </w:r>
      <w:r w:rsidR="00D868E6" w:rsidRPr="00497CEB">
        <w:rPr>
          <w:lang w:val="ru-RU" w:eastAsia="en-US"/>
        </w:rPr>
        <w:t xml:space="preserve"> дни </w:t>
      </w:r>
      <w:r w:rsidR="00497CEB" w:rsidRPr="00497CEB">
        <w:rPr>
          <w:lang w:eastAsia="en-US"/>
        </w:rPr>
        <w:t>с</w:t>
      </w:r>
      <w:r w:rsidR="00D868E6" w:rsidRPr="00497CEB">
        <w:rPr>
          <w:lang w:eastAsia="en-US"/>
        </w:rPr>
        <w:t xml:space="preserve"> </w:t>
      </w:r>
      <w:r w:rsidR="00497CEB" w:rsidRPr="00497CEB">
        <w:rPr>
          <w:lang w:eastAsia="en-US"/>
        </w:rPr>
        <w:t xml:space="preserve">2 </w:t>
      </w:r>
      <w:r w:rsidR="00D868E6" w:rsidRPr="00497CEB">
        <w:rPr>
          <w:lang w:eastAsia="en-US"/>
        </w:rPr>
        <w:t xml:space="preserve">дни повече от </w:t>
      </w:r>
      <w:r w:rsidR="00497CEB" w:rsidRPr="00497CEB">
        <w:rPr>
          <w:lang w:eastAsia="en-US"/>
        </w:rPr>
        <w:t>първото</w:t>
      </w:r>
      <w:r w:rsidR="00D868E6" w:rsidRPr="00497CEB">
        <w:rPr>
          <w:lang w:eastAsia="en-US"/>
        </w:rPr>
        <w:t xml:space="preserve"> тримесечие</w:t>
      </w:r>
      <w:r w:rsidR="00497CEB" w:rsidRPr="00497CEB">
        <w:rPr>
          <w:lang w:eastAsia="en-US"/>
        </w:rPr>
        <w:t xml:space="preserve"> </w:t>
      </w:r>
      <w:r w:rsidR="00497CEB" w:rsidRPr="00497CEB">
        <w:rPr>
          <w:lang w:val="ru-RU" w:eastAsia="en-US"/>
        </w:rPr>
        <w:t>(</w:t>
      </w:r>
      <w:r w:rsidR="00497CEB" w:rsidRPr="00497CEB">
        <w:rPr>
          <w:lang w:eastAsia="en-US"/>
        </w:rPr>
        <w:t>януари, февруари и март</w:t>
      </w:r>
      <w:r w:rsidR="00497CEB" w:rsidRPr="00497CEB">
        <w:rPr>
          <w:lang w:val="ru-RU" w:eastAsia="en-US"/>
        </w:rPr>
        <w:t>)</w:t>
      </w:r>
      <w:r w:rsidR="00D868E6" w:rsidRPr="00497CEB">
        <w:rPr>
          <w:lang w:eastAsia="en-US"/>
        </w:rPr>
        <w:t xml:space="preserve">, които са </w:t>
      </w:r>
      <w:r w:rsidR="00497CEB" w:rsidRPr="00497CEB">
        <w:rPr>
          <w:lang w:val="ru-RU" w:eastAsia="en-US"/>
        </w:rPr>
        <w:t>17</w:t>
      </w:r>
      <w:r w:rsidR="00D868E6" w:rsidRPr="00497CEB">
        <w:rPr>
          <w:lang w:eastAsia="en-US"/>
        </w:rPr>
        <w:t xml:space="preserve"> броя. Значително по-малко са установените превишения през второ тримесечие </w:t>
      </w:r>
      <w:r w:rsidR="00D868E6" w:rsidRPr="00497CEB">
        <w:rPr>
          <w:lang w:val="ru-RU" w:eastAsia="en-US"/>
        </w:rPr>
        <w:t>(</w:t>
      </w:r>
      <w:r w:rsidR="00D868E6" w:rsidRPr="00497CEB">
        <w:rPr>
          <w:lang w:eastAsia="en-US"/>
        </w:rPr>
        <w:t>април, май и юни</w:t>
      </w:r>
      <w:r w:rsidR="00D868E6" w:rsidRPr="00497CEB">
        <w:rPr>
          <w:lang w:val="ru-RU" w:eastAsia="en-US"/>
        </w:rPr>
        <w:t xml:space="preserve">) </w:t>
      </w:r>
      <w:r w:rsidR="00D868E6" w:rsidRPr="00497CEB">
        <w:rPr>
          <w:lang w:eastAsia="en-US"/>
        </w:rPr>
        <w:t xml:space="preserve">– </w:t>
      </w:r>
      <w:r w:rsidR="00497CEB" w:rsidRPr="00497CEB">
        <w:rPr>
          <w:lang w:val="ru-RU" w:eastAsia="en-US"/>
        </w:rPr>
        <w:t xml:space="preserve">1 </w:t>
      </w:r>
      <w:proofErr w:type="spellStart"/>
      <w:r w:rsidR="00497CEB" w:rsidRPr="00497CEB">
        <w:rPr>
          <w:lang w:val="ru-RU" w:eastAsia="en-US"/>
        </w:rPr>
        <w:t>ден</w:t>
      </w:r>
      <w:proofErr w:type="spellEnd"/>
      <w:r w:rsidR="00497CEB" w:rsidRPr="00497CEB">
        <w:rPr>
          <w:lang w:val="ru-RU" w:eastAsia="en-US"/>
        </w:rPr>
        <w:t xml:space="preserve"> </w:t>
      </w:r>
      <w:r w:rsidR="00D868E6" w:rsidRPr="00497CEB">
        <w:rPr>
          <w:lang w:eastAsia="en-US"/>
        </w:rPr>
        <w:t xml:space="preserve"> и </w:t>
      </w:r>
      <w:r w:rsidR="00497CEB" w:rsidRPr="00497CEB">
        <w:rPr>
          <w:lang w:eastAsia="en-US"/>
        </w:rPr>
        <w:t xml:space="preserve">с 3 дни </w:t>
      </w:r>
      <w:r w:rsidR="00D868E6" w:rsidRPr="00497CEB">
        <w:rPr>
          <w:lang w:eastAsia="en-US"/>
        </w:rPr>
        <w:t xml:space="preserve"> превишения на нормите е трето тримесечие </w:t>
      </w:r>
      <w:r w:rsidR="00D868E6" w:rsidRPr="00497CEB">
        <w:rPr>
          <w:lang w:val="ru-RU" w:eastAsia="en-US"/>
        </w:rPr>
        <w:t>(</w:t>
      </w:r>
      <w:r w:rsidR="00D868E6" w:rsidRPr="00497CEB">
        <w:rPr>
          <w:lang w:eastAsia="en-US"/>
        </w:rPr>
        <w:t>юли, август и септември</w:t>
      </w:r>
      <w:r w:rsidR="00D868E6" w:rsidRPr="00497CEB">
        <w:rPr>
          <w:lang w:val="ru-RU" w:eastAsia="en-US"/>
        </w:rPr>
        <w:t xml:space="preserve">). </w:t>
      </w:r>
      <w:r w:rsidR="00D868E6" w:rsidRPr="00497CEB">
        <w:rPr>
          <w:lang w:eastAsia="en-US"/>
        </w:rPr>
        <w:t>Месец</w:t>
      </w:r>
      <w:r w:rsidR="00497CEB" w:rsidRPr="00497CEB">
        <w:rPr>
          <w:lang w:eastAsia="en-US"/>
        </w:rPr>
        <w:t>и</w:t>
      </w:r>
      <w:r w:rsidR="00D868E6" w:rsidRPr="00497CEB">
        <w:rPr>
          <w:lang w:eastAsia="en-US"/>
        </w:rPr>
        <w:t>т</w:t>
      </w:r>
      <w:r w:rsidR="00497CEB" w:rsidRPr="00497CEB">
        <w:rPr>
          <w:lang w:eastAsia="en-US"/>
        </w:rPr>
        <w:t>е</w:t>
      </w:r>
      <w:r w:rsidR="00D868E6" w:rsidRPr="00497CEB">
        <w:rPr>
          <w:lang w:eastAsia="en-US"/>
        </w:rPr>
        <w:t xml:space="preserve"> с най-много превишения </w:t>
      </w:r>
      <w:r w:rsidR="00497CEB" w:rsidRPr="00497CEB">
        <w:rPr>
          <w:lang w:eastAsia="en-US"/>
        </w:rPr>
        <w:t>са март и декември</w:t>
      </w:r>
      <w:r w:rsidR="00D868E6" w:rsidRPr="00497CEB">
        <w:rPr>
          <w:lang w:eastAsia="en-US"/>
        </w:rPr>
        <w:t xml:space="preserve">, а именно </w:t>
      </w:r>
      <w:r w:rsidR="00497CEB" w:rsidRPr="00497CEB">
        <w:rPr>
          <w:lang w:eastAsia="en-US"/>
        </w:rPr>
        <w:t>с по 9 дни в двата месеца.</w:t>
      </w:r>
      <w:r w:rsidR="00497CEB" w:rsidRPr="002212AB">
        <w:rPr>
          <w:color w:val="A8D08D" w:themeColor="accent6" w:themeTint="99"/>
        </w:rPr>
        <w:t xml:space="preserve"> </w:t>
      </w:r>
    </w:p>
    <w:p w:rsidR="00D868E6" w:rsidRPr="009F56B0" w:rsidRDefault="00D868E6" w:rsidP="00D868E6">
      <w:pPr>
        <w:pBdr>
          <w:bottom w:val="single" w:sz="4" w:space="1" w:color="999999"/>
        </w:pBdr>
        <w:jc w:val="both"/>
        <w:rPr>
          <w:color w:val="000000" w:themeColor="text1"/>
          <w:lang w:eastAsia="en-US"/>
        </w:rPr>
      </w:pPr>
      <w:r w:rsidRPr="002751E6">
        <w:rPr>
          <w:color w:val="FF0000"/>
          <w:lang w:eastAsia="en-US"/>
        </w:rPr>
        <w:t xml:space="preserve">         </w:t>
      </w:r>
      <w:r w:rsidRPr="009F56B0">
        <w:rPr>
          <w:color w:val="000000" w:themeColor="text1"/>
          <w:lang w:eastAsia="en-US"/>
        </w:rPr>
        <w:t xml:space="preserve">Наблюдава се намаление на дните с превишения над </w:t>
      </w:r>
      <w:proofErr w:type="spellStart"/>
      <w:r w:rsidRPr="009F56B0">
        <w:rPr>
          <w:color w:val="000000" w:themeColor="text1"/>
          <w:lang w:eastAsia="en-US"/>
        </w:rPr>
        <w:t>средноденонощната</w:t>
      </w:r>
      <w:proofErr w:type="spellEnd"/>
      <w:r w:rsidRPr="009F56B0">
        <w:rPr>
          <w:color w:val="000000" w:themeColor="text1"/>
          <w:lang w:eastAsia="en-US"/>
        </w:rPr>
        <w:t xml:space="preserve"> норма на</w:t>
      </w:r>
      <w:r w:rsidRPr="009F56B0">
        <w:rPr>
          <w:color w:val="000000" w:themeColor="text1"/>
        </w:rPr>
        <w:t xml:space="preserve"> </w:t>
      </w:r>
      <w:r w:rsidRPr="009F56B0">
        <w:rPr>
          <w:color w:val="000000" w:themeColor="text1"/>
          <w:lang w:eastAsia="en-US"/>
        </w:rPr>
        <w:t>ФПЧ</w:t>
      </w:r>
      <w:r w:rsidRPr="009F56B0">
        <w:rPr>
          <w:color w:val="000000" w:themeColor="text1"/>
          <w:vertAlign w:val="subscript"/>
          <w:lang w:eastAsia="en-US"/>
        </w:rPr>
        <w:t xml:space="preserve">10 </w:t>
      </w:r>
      <w:r w:rsidRPr="009F56B0">
        <w:rPr>
          <w:color w:val="000000" w:themeColor="text1"/>
          <w:lang w:eastAsia="en-US"/>
        </w:rPr>
        <w:t>за 202</w:t>
      </w:r>
      <w:r w:rsidR="000C4FE0" w:rsidRPr="009F56B0">
        <w:rPr>
          <w:color w:val="000000" w:themeColor="text1"/>
          <w:lang w:eastAsia="en-US"/>
        </w:rPr>
        <w:t>2</w:t>
      </w:r>
      <w:r w:rsidRPr="009F56B0">
        <w:rPr>
          <w:color w:val="000000" w:themeColor="text1"/>
          <w:lang w:eastAsia="en-US"/>
        </w:rPr>
        <w:t xml:space="preserve"> г., а именно от </w:t>
      </w:r>
      <w:r w:rsidR="006A2463" w:rsidRPr="009F56B0">
        <w:rPr>
          <w:color w:val="000000" w:themeColor="text1"/>
          <w:lang w:eastAsia="en-US"/>
        </w:rPr>
        <w:t>50</w:t>
      </w:r>
      <w:r w:rsidRPr="009F56B0">
        <w:rPr>
          <w:color w:val="000000" w:themeColor="text1"/>
          <w:lang w:eastAsia="en-US"/>
        </w:rPr>
        <w:t xml:space="preserve"> дни през 202</w:t>
      </w:r>
      <w:r w:rsidR="006A2463" w:rsidRPr="009F56B0">
        <w:rPr>
          <w:color w:val="000000" w:themeColor="text1"/>
          <w:lang w:eastAsia="en-US"/>
        </w:rPr>
        <w:t>1</w:t>
      </w:r>
      <w:r w:rsidRPr="009F56B0">
        <w:rPr>
          <w:color w:val="000000" w:themeColor="text1"/>
          <w:lang w:eastAsia="en-US"/>
        </w:rPr>
        <w:t xml:space="preserve"> г. на </w:t>
      </w:r>
      <w:r w:rsidR="006A2463" w:rsidRPr="009F56B0">
        <w:rPr>
          <w:color w:val="000000" w:themeColor="text1"/>
          <w:lang w:eastAsia="en-US"/>
        </w:rPr>
        <w:t>4</w:t>
      </w:r>
      <w:r w:rsidRPr="009F56B0">
        <w:rPr>
          <w:color w:val="000000" w:themeColor="text1"/>
          <w:lang w:eastAsia="en-US"/>
        </w:rPr>
        <w:t>0 дни през 202</w:t>
      </w:r>
      <w:r w:rsidR="006A2463" w:rsidRPr="009F56B0">
        <w:rPr>
          <w:color w:val="000000" w:themeColor="text1"/>
          <w:lang w:eastAsia="en-US"/>
        </w:rPr>
        <w:t>2</w:t>
      </w:r>
      <w:r w:rsidRPr="009F56B0">
        <w:rPr>
          <w:color w:val="000000" w:themeColor="text1"/>
          <w:lang w:eastAsia="en-US"/>
        </w:rPr>
        <w:t xml:space="preserve"> г., </w:t>
      </w:r>
      <w:r w:rsidR="006A2463" w:rsidRPr="009F56B0">
        <w:rPr>
          <w:color w:val="000000" w:themeColor="text1"/>
          <w:lang w:eastAsia="en-US"/>
        </w:rPr>
        <w:t>.</w:t>
      </w:r>
      <w:r w:rsidRPr="009F56B0">
        <w:rPr>
          <w:color w:val="000000" w:themeColor="text1"/>
          <w:lang w:eastAsia="en-US"/>
        </w:rPr>
        <w:t xml:space="preserve"> През трето тримесечие на 2021 г. </w:t>
      </w:r>
      <w:r w:rsidRPr="009F56B0">
        <w:rPr>
          <w:color w:val="000000" w:themeColor="text1"/>
          <w:lang w:val="ru-RU" w:eastAsia="en-US"/>
        </w:rPr>
        <w:t>(</w:t>
      </w:r>
      <w:r w:rsidRPr="009F56B0">
        <w:rPr>
          <w:color w:val="000000" w:themeColor="text1"/>
          <w:lang w:eastAsia="en-US"/>
        </w:rPr>
        <w:t>юли, август и септември</w:t>
      </w:r>
      <w:r w:rsidRPr="009F56B0">
        <w:rPr>
          <w:color w:val="000000" w:themeColor="text1"/>
          <w:lang w:val="ru-RU" w:eastAsia="en-US"/>
        </w:rPr>
        <w:t>)</w:t>
      </w:r>
      <w:r w:rsidRPr="009F56B0">
        <w:rPr>
          <w:color w:val="000000" w:themeColor="text1"/>
          <w:lang w:eastAsia="en-US"/>
        </w:rPr>
        <w:t xml:space="preserve"> са месеците без превишени стойности </w:t>
      </w:r>
      <w:proofErr w:type="gramStart"/>
      <w:r w:rsidRPr="009F56B0">
        <w:rPr>
          <w:color w:val="000000" w:themeColor="text1"/>
          <w:lang w:eastAsia="en-US"/>
        </w:rPr>
        <w:t>на  ФПЧ</w:t>
      </w:r>
      <w:proofErr w:type="gramEnd"/>
      <w:r w:rsidRPr="009F56B0">
        <w:rPr>
          <w:color w:val="000000" w:themeColor="text1"/>
          <w:vertAlign w:val="subscript"/>
          <w:lang w:eastAsia="en-US"/>
        </w:rPr>
        <w:t>10</w:t>
      </w:r>
      <w:r w:rsidRPr="009F56B0">
        <w:rPr>
          <w:color w:val="000000" w:themeColor="text1"/>
          <w:lang w:eastAsia="en-US"/>
        </w:rPr>
        <w:t>. Месецът с най-много превишения,  през 2021 г. е месец януари с 11 дни</w:t>
      </w:r>
      <w:r w:rsidR="000C4FE0" w:rsidRPr="009F56B0">
        <w:rPr>
          <w:color w:val="000000" w:themeColor="text1"/>
          <w:lang w:eastAsia="en-US"/>
        </w:rPr>
        <w:t xml:space="preserve"> , а през 2022г.са месеците  март и декември, а именно с по 9 дни в двата месеца.</w:t>
      </w:r>
      <w:r w:rsidRPr="009F56B0">
        <w:rPr>
          <w:color w:val="000000" w:themeColor="text1"/>
          <w:lang w:eastAsia="en-US"/>
        </w:rPr>
        <w:t xml:space="preserve"> Все още</w:t>
      </w:r>
      <w:r w:rsidRPr="009F56B0">
        <w:rPr>
          <w:color w:val="000000" w:themeColor="text1"/>
          <w:lang w:val="ru-RU" w:eastAsia="en-US"/>
        </w:rPr>
        <w:t xml:space="preserve"> не</w:t>
      </w:r>
      <w:r w:rsidRPr="009F56B0">
        <w:rPr>
          <w:color w:val="000000" w:themeColor="text1"/>
          <w:lang w:eastAsia="en-US"/>
        </w:rPr>
        <w:t xml:space="preserve"> могат да се изпълнят изискванията на Наредба №12 от 15 юли 2010 г. за норми за серен диоксид, азотен диоксид, фини </w:t>
      </w:r>
      <w:proofErr w:type="spellStart"/>
      <w:r w:rsidRPr="009F56B0">
        <w:rPr>
          <w:color w:val="000000" w:themeColor="text1"/>
          <w:lang w:eastAsia="en-US"/>
        </w:rPr>
        <w:t>прахови</w:t>
      </w:r>
      <w:proofErr w:type="spellEnd"/>
      <w:r w:rsidRPr="009F56B0">
        <w:rPr>
          <w:color w:val="000000" w:themeColor="text1"/>
          <w:lang w:eastAsia="en-US"/>
        </w:rPr>
        <w:t xml:space="preserve"> частици, олово </w:t>
      </w:r>
      <w:proofErr w:type="spellStart"/>
      <w:r w:rsidRPr="009F56B0">
        <w:rPr>
          <w:color w:val="000000" w:themeColor="text1"/>
          <w:lang w:eastAsia="en-US"/>
        </w:rPr>
        <w:t>бензен</w:t>
      </w:r>
      <w:proofErr w:type="spellEnd"/>
      <w:r w:rsidRPr="009F56B0">
        <w:rPr>
          <w:color w:val="000000" w:themeColor="text1"/>
          <w:lang w:eastAsia="en-US"/>
        </w:rPr>
        <w:t xml:space="preserve">, въглероден оксид и озон в атмосферния въздух, в която ограничението за превишаване на </w:t>
      </w:r>
      <w:proofErr w:type="spellStart"/>
      <w:r w:rsidRPr="009F56B0">
        <w:rPr>
          <w:color w:val="000000" w:themeColor="text1"/>
          <w:lang w:eastAsia="en-US"/>
        </w:rPr>
        <w:t>средноденонощната</w:t>
      </w:r>
      <w:proofErr w:type="spellEnd"/>
      <w:r w:rsidRPr="009F56B0">
        <w:rPr>
          <w:color w:val="000000" w:themeColor="text1"/>
          <w:lang w:eastAsia="en-US"/>
        </w:rPr>
        <w:t xml:space="preserve"> норма за ФПЧ</w:t>
      </w:r>
      <w:r w:rsidRPr="009F56B0">
        <w:rPr>
          <w:color w:val="000000" w:themeColor="text1"/>
          <w:vertAlign w:val="subscript"/>
          <w:lang w:eastAsia="en-US"/>
        </w:rPr>
        <w:t xml:space="preserve">10 </w:t>
      </w:r>
      <w:r w:rsidRPr="009F56B0">
        <w:rPr>
          <w:color w:val="000000" w:themeColor="text1"/>
          <w:lang w:eastAsia="en-US"/>
        </w:rPr>
        <w:t>е не повече от 35 пъти в рамките на една календарна година.</w:t>
      </w:r>
    </w:p>
    <w:p w:rsidR="000C4FE0" w:rsidRPr="002B51F9" w:rsidRDefault="000C4FE0" w:rsidP="006A2463">
      <w:pPr>
        <w:pBdr>
          <w:bottom w:val="single" w:sz="4" w:space="1" w:color="999999"/>
        </w:pBdr>
        <w:jc w:val="both"/>
        <w:rPr>
          <w:b/>
        </w:rPr>
      </w:pPr>
    </w:p>
    <w:p w:rsidR="00D868E6" w:rsidRPr="002B51F9" w:rsidRDefault="00D868E6" w:rsidP="006A2463">
      <w:pPr>
        <w:pBdr>
          <w:bottom w:val="single" w:sz="4" w:space="1" w:color="999999"/>
        </w:pBdr>
        <w:jc w:val="both"/>
        <w:rPr>
          <w:rFonts w:ascii="Calibri" w:eastAsia="Calibri" w:hAnsi="Calibri"/>
          <w:sz w:val="16"/>
          <w:szCs w:val="16"/>
          <w:lang w:val="en-US" w:eastAsia="en-US"/>
        </w:rPr>
      </w:pPr>
      <w:r w:rsidRPr="002B51F9">
        <w:rPr>
          <w:b/>
        </w:rPr>
        <w:t xml:space="preserve">Процентно съотношение на броя превишения на </w:t>
      </w:r>
      <w:proofErr w:type="spellStart"/>
      <w:r w:rsidRPr="002B51F9">
        <w:rPr>
          <w:b/>
        </w:rPr>
        <w:t>средноденонощната</w:t>
      </w:r>
      <w:proofErr w:type="spellEnd"/>
      <w:r w:rsidRPr="002B51F9">
        <w:rPr>
          <w:b/>
        </w:rPr>
        <w:t xml:space="preserve"> норма на ФПЧ</w:t>
      </w:r>
      <w:r w:rsidRPr="002B51F9">
        <w:rPr>
          <w:b/>
          <w:vertAlign w:val="subscript"/>
        </w:rPr>
        <w:t xml:space="preserve">10 </w:t>
      </w:r>
      <w:r w:rsidR="006A2463" w:rsidRPr="002B51F9">
        <w:rPr>
          <w:b/>
        </w:rPr>
        <w:t>към броя взети проби</w:t>
      </w:r>
    </w:p>
    <w:p w:rsidR="00D868E6" w:rsidRPr="002751E6" w:rsidRDefault="00D868E6" w:rsidP="00D868E6">
      <w:pPr>
        <w:spacing w:after="200" w:line="276" w:lineRule="auto"/>
        <w:jc w:val="center"/>
        <w:rPr>
          <w:rFonts w:ascii="Calibri" w:eastAsia="Calibri" w:hAnsi="Calibri"/>
          <w:color w:val="FF0000"/>
          <w:sz w:val="22"/>
          <w:szCs w:val="22"/>
          <w:lang w:eastAsia="en-US"/>
        </w:rPr>
      </w:pPr>
      <w:r w:rsidRPr="002751E6">
        <w:rPr>
          <w:rFonts w:ascii="Calibri" w:eastAsia="Calibri" w:hAnsi="Calibri"/>
          <w:noProof/>
          <w:color w:val="FF0000"/>
          <w:sz w:val="22"/>
          <w:szCs w:val="22"/>
          <w:lang w:val="en-US" w:eastAsia="en-US"/>
        </w:rPr>
        <w:drawing>
          <wp:inline distT="0" distB="0" distL="0" distR="0">
            <wp:extent cx="5476875" cy="3038475"/>
            <wp:effectExtent l="0" t="0" r="9525" b="9525"/>
            <wp:docPr id="22" name="Диагра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868E6" w:rsidRPr="002B51F9" w:rsidRDefault="00D868E6" w:rsidP="00D868E6">
      <w:pPr>
        <w:pStyle w:val="FR2"/>
        <w:widowControl/>
        <w:spacing w:line="240" w:lineRule="auto"/>
        <w:ind w:firstLine="0"/>
        <w:rPr>
          <w:b/>
          <w:i/>
          <w:szCs w:val="24"/>
        </w:rPr>
      </w:pPr>
      <w:r w:rsidRPr="002B51F9">
        <w:rPr>
          <w:b/>
          <w:i/>
          <w:szCs w:val="24"/>
        </w:rPr>
        <w:t>Замърсяването на въздуха в община Видин се дължи на:</w:t>
      </w:r>
    </w:p>
    <w:p w:rsidR="00D868E6" w:rsidRPr="002B51F9" w:rsidRDefault="00D868E6" w:rsidP="00D868E6">
      <w:pPr>
        <w:pStyle w:val="FR2"/>
        <w:widowControl/>
        <w:numPr>
          <w:ilvl w:val="0"/>
          <w:numId w:val="1"/>
        </w:numPr>
        <w:spacing w:line="240" w:lineRule="auto"/>
        <w:rPr>
          <w:szCs w:val="24"/>
          <w:u w:val="single"/>
        </w:rPr>
      </w:pPr>
      <w:r w:rsidRPr="002B51F9">
        <w:rPr>
          <w:szCs w:val="24"/>
          <w:u w:val="single"/>
        </w:rPr>
        <w:t>Източници на територията на града</w:t>
      </w:r>
    </w:p>
    <w:p w:rsidR="00D868E6" w:rsidRPr="002B51F9" w:rsidRDefault="00D868E6" w:rsidP="00D868E6">
      <w:pPr>
        <w:pStyle w:val="FR2"/>
        <w:widowControl/>
        <w:spacing w:line="240" w:lineRule="auto"/>
        <w:ind w:firstLine="0"/>
        <w:rPr>
          <w:noProof/>
          <w:szCs w:val="24"/>
          <w:lang w:val="ru-RU"/>
        </w:rPr>
      </w:pPr>
      <w:r w:rsidRPr="002B51F9">
        <w:rPr>
          <w:szCs w:val="24"/>
        </w:rPr>
        <w:tab/>
        <w:t>Основни на територията на града са технологичните източници с дейност строителство, ремонт и поддръжка на пътища и пътни съоръжения, производство на асфалтови смеси и смесени фракции,</w:t>
      </w:r>
      <w:r w:rsidRPr="002B51F9">
        <w:t xml:space="preserve"> </w:t>
      </w:r>
      <w:r w:rsidRPr="002B51F9">
        <w:rPr>
          <w:szCs w:val="24"/>
        </w:rPr>
        <w:t>складовите бази, шивашката индустрия</w:t>
      </w:r>
      <w:r w:rsidRPr="002B51F9">
        <w:rPr>
          <w:noProof/>
          <w:szCs w:val="24"/>
        </w:rPr>
        <w:t>,</w:t>
      </w:r>
      <w:r w:rsidRPr="002B51F9">
        <w:rPr>
          <w:szCs w:val="24"/>
        </w:rPr>
        <w:t xml:space="preserve"> масовото използване на твърди горива в битовия сектор, автомобилния трафик на МПС (по най-интензивно натоварените улици), бензиностанциите и самото улично платно, когато не е почистено и измито. </w:t>
      </w:r>
    </w:p>
    <w:p w:rsidR="00D868E6" w:rsidRPr="002B51F9" w:rsidRDefault="00D868E6" w:rsidP="00D868E6">
      <w:pPr>
        <w:ind w:firstLine="720"/>
        <w:jc w:val="both"/>
      </w:pPr>
      <w:r w:rsidRPr="002B51F9">
        <w:t xml:space="preserve">В град Видин няма изградена топлофикационна мрежа. Липсата и е причина за използване на индивидуални горивни (отоплителни) инсталации в бита, които са източник </w:t>
      </w:r>
      <w:r w:rsidRPr="002B51F9">
        <w:lastRenderedPageBreak/>
        <w:t>на вредни емисии в атмосферата, поради отсъствието на пречистване на изпусканите емисии и наличието на протичане на процеси на непълно изгаряне.</w:t>
      </w:r>
    </w:p>
    <w:p w:rsidR="00D868E6" w:rsidRPr="002B51F9" w:rsidRDefault="00D868E6" w:rsidP="00D868E6">
      <w:pPr>
        <w:ind w:firstLine="720"/>
        <w:jc w:val="both"/>
      </w:pPr>
      <w:r w:rsidRPr="002B51F9">
        <w:t>Замърсяването от автомобилния трафик по улиците с висока интензивност е значително. Независимо, че приземните концентрации на замърсителите от двигателите с вътрешно горене са в рамките на норматива, и че максималните концентрации се появяват на 5-10 метра от границите на уличното платно, поради стеснените условия и структурата на уличната мрежа условията за разсейване не са добри, което при определени ситуации може да доведе до наднормени приземни концентрации. Недоброто състояние на пътната настилка на улиците, както и непочистения от платното и тротоарите прах, създават условия при движение на автомобилите да се емитира във въздуха значително количество прах. Дупките по уличното платно, малката пропускателна способност на улиците с интензивно движение, и недобре регулираната светлинна сигнализация вкарват двигателите в неоптимален режим, което води до значително увеличение на емисиите на вредни вещества, в сравнение с тези при оптимална работа.</w:t>
      </w:r>
      <w:r w:rsidRPr="002B51F9">
        <w:tab/>
      </w:r>
    </w:p>
    <w:p w:rsidR="00D868E6" w:rsidRPr="004952FE" w:rsidRDefault="00D868E6" w:rsidP="00D868E6">
      <w:pPr>
        <w:numPr>
          <w:ilvl w:val="0"/>
          <w:numId w:val="2"/>
        </w:numPr>
        <w:jc w:val="both"/>
        <w:rPr>
          <w:u w:val="single"/>
        </w:rPr>
      </w:pPr>
      <w:r w:rsidRPr="004952FE">
        <w:rPr>
          <w:u w:val="single"/>
        </w:rPr>
        <w:t>Източници в индустриалните зони на града</w:t>
      </w:r>
    </w:p>
    <w:p w:rsidR="00D868E6" w:rsidRPr="004952FE" w:rsidRDefault="00D868E6" w:rsidP="00D868E6">
      <w:pPr>
        <w:tabs>
          <w:tab w:val="left" w:pos="360"/>
        </w:tabs>
        <w:jc w:val="both"/>
      </w:pPr>
      <w:r w:rsidRPr="004952FE">
        <w:tab/>
      </w:r>
      <w:r w:rsidRPr="004952FE">
        <w:tab/>
        <w:t xml:space="preserve">Промишлените източници на замърсяване, разположени на територията на гр. Видин, обособяват три промишлени зони: Северна, Южна и Западна, всяка от които има своя дял в замърсяването на въздуха, но те са сравнително отдалечени от централната част на града. </w:t>
      </w:r>
    </w:p>
    <w:p w:rsidR="00D868E6" w:rsidRPr="004952FE" w:rsidRDefault="00D868E6" w:rsidP="00D868E6">
      <w:pPr>
        <w:tabs>
          <w:tab w:val="left" w:pos="360"/>
        </w:tabs>
        <w:jc w:val="both"/>
      </w:pPr>
      <w:r w:rsidRPr="004952FE">
        <w:tab/>
      </w:r>
      <w:r w:rsidRPr="004952FE">
        <w:tab/>
        <w:t xml:space="preserve">Най-много и различни по вид източници на замърсяване на атмосферния въздух се намират на територията на южната промишлена зона. Има предприятия от различни отрасли на промишлеността. Машиностроенето е слабо застъпен отрасъл. Представлява се от предприятие за </w:t>
      </w:r>
      <w:r w:rsidRPr="004952FE">
        <w:rPr>
          <w:bCs/>
        </w:rPr>
        <w:t>производство на чугунени изделия.</w:t>
      </w:r>
      <w:r w:rsidRPr="004952FE">
        <w:t xml:space="preserve"> </w:t>
      </w:r>
      <w:r w:rsidRPr="004952FE">
        <w:rPr>
          <w:noProof/>
        </w:rPr>
        <w:t xml:space="preserve">Хранително-вкусовата промишленост е представена, основно с предприятие за производството на млечни продукти. </w:t>
      </w:r>
      <w:r w:rsidRPr="004952FE">
        <w:t xml:space="preserve">Освен промишлените източници са разположени и такива на неорганизирани емисии, играещи основна роля в замърсяването на атмосферния въздух с прах. Има складове за насипни материали – филц и пясък. На пристанище  „Юг“ има открит склад за въглища. Наред с това, в Южната индустриална зона на град Видин има </w:t>
      </w:r>
      <w:proofErr w:type="spellStart"/>
      <w:r w:rsidRPr="004952FE">
        <w:t>сгуроотвал</w:t>
      </w:r>
      <w:proofErr w:type="spellEnd"/>
      <w:r w:rsidRPr="004952FE">
        <w:t xml:space="preserve"> и неорганизирано депо за производствени отпадъци. </w:t>
      </w:r>
    </w:p>
    <w:p w:rsidR="00D868E6" w:rsidRPr="004952FE" w:rsidRDefault="00D868E6" w:rsidP="00D868E6">
      <w:pPr>
        <w:pStyle w:val="2"/>
        <w:tabs>
          <w:tab w:val="left" w:pos="360"/>
        </w:tabs>
        <w:spacing w:after="0" w:line="240" w:lineRule="auto"/>
        <w:ind w:left="0"/>
        <w:jc w:val="both"/>
        <w:rPr>
          <w:sz w:val="24"/>
          <w:szCs w:val="24"/>
          <w:lang w:val="bg-BG"/>
        </w:rPr>
      </w:pPr>
      <w:r w:rsidRPr="004952FE">
        <w:rPr>
          <w:sz w:val="24"/>
          <w:szCs w:val="24"/>
          <w:lang w:val="bg-BG"/>
        </w:rPr>
        <w:tab/>
      </w:r>
      <w:r w:rsidRPr="004952FE">
        <w:rPr>
          <w:sz w:val="24"/>
          <w:szCs w:val="24"/>
          <w:lang w:val="bg-BG"/>
        </w:rPr>
        <w:tab/>
        <w:t xml:space="preserve">В западната индустриална зона се намират много складове за насипни материали: открити складове за въглища, варов възел – открит склад за филц, пясък, гасена вар и др. </w:t>
      </w:r>
      <w:r w:rsidRPr="004952FE">
        <w:rPr>
          <w:noProof/>
          <w:sz w:val="24"/>
          <w:szCs w:val="24"/>
          <w:lang w:val="bg-BG"/>
        </w:rPr>
        <w:t xml:space="preserve">Хранително-вкусовата промишленост е представена от складова база за зърнени храни. </w:t>
      </w:r>
    </w:p>
    <w:p w:rsidR="00D868E6" w:rsidRPr="004952FE" w:rsidRDefault="00D868E6" w:rsidP="00D868E6">
      <w:pPr>
        <w:ind w:firstLine="720"/>
        <w:jc w:val="both"/>
      </w:pPr>
      <w:r w:rsidRPr="004952FE">
        <w:t xml:space="preserve">В северната индустриална зона липсват промишлени и други предприятия, които да играят съществена роля върху замърсяването на атмосферния въздух. Единствено откритите складове за насипни материали на пристанище „Север”, играещи ролята на неорганизирани източници на прах имат значение за </w:t>
      </w:r>
      <w:proofErr w:type="spellStart"/>
      <w:r w:rsidRPr="004952FE">
        <w:t>праховото</w:t>
      </w:r>
      <w:proofErr w:type="spellEnd"/>
      <w:r w:rsidRPr="004952FE">
        <w:t xml:space="preserve"> натоварване на атмосферния въздух.</w:t>
      </w:r>
    </w:p>
    <w:p w:rsidR="00D868E6" w:rsidRPr="004952FE" w:rsidRDefault="00D868E6" w:rsidP="00D868E6">
      <w:pPr>
        <w:numPr>
          <w:ilvl w:val="0"/>
          <w:numId w:val="3"/>
        </w:numPr>
        <w:jc w:val="both"/>
        <w:rPr>
          <w:u w:val="single"/>
        </w:rPr>
      </w:pPr>
      <w:r w:rsidRPr="004952FE">
        <w:rPr>
          <w:u w:val="single"/>
        </w:rPr>
        <w:t>Източници извън територията на гр. Видин</w:t>
      </w:r>
    </w:p>
    <w:p w:rsidR="00D868E6" w:rsidRPr="004952FE" w:rsidRDefault="00D868E6" w:rsidP="00D868E6">
      <w:pPr>
        <w:ind w:firstLine="720"/>
        <w:jc w:val="both"/>
      </w:pPr>
      <w:r w:rsidRPr="004952FE">
        <w:t xml:space="preserve">Освен на територията на град Видин производствени източници на замърсяване на атмосферния въздух има в селата Покрайна – </w:t>
      </w:r>
      <w:proofErr w:type="spellStart"/>
      <w:r w:rsidRPr="004952FE">
        <w:t>маслодобивна</w:t>
      </w:r>
      <w:proofErr w:type="spellEnd"/>
      <w:r w:rsidRPr="004952FE">
        <w:t xml:space="preserve"> фабрика, Слана Бара – асфалтова база и Кошава – рудник и завод за производство на печен гипс.</w:t>
      </w:r>
    </w:p>
    <w:p w:rsidR="00D868E6" w:rsidRPr="004952FE" w:rsidRDefault="00D868E6" w:rsidP="00D868E6">
      <w:pPr>
        <w:ind w:firstLine="720"/>
        <w:jc w:val="both"/>
      </w:pPr>
      <w:r w:rsidRPr="004952FE">
        <w:t xml:space="preserve">Замърсяването на въздуха в районите на с. Покрайна и с. Слана Бара е слабо, поради малките масови потоци и мощности на емисиите на замърсителите, които се изпускат от производствата на териториите на селата. По тази причина замърсяването е с локален характер и не може да повлияе върху качеството на атмосферния въздух в района на общината. По-значително е замърсяването на атмосферния въздух от дейността на завода за производство на печен гипс в с. Кошава. </w:t>
      </w:r>
    </w:p>
    <w:p w:rsidR="00D868E6" w:rsidRPr="00EB7716" w:rsidRDefault="00D868E6" w:rsidP="00D868E6">
      <w:pPr>
        <w:tabs>
          <w:tab w:val="left" w:pos="284"/>
        </w:tabs>
        <w:jc w:val="both"/>
        <w:rPr>
          <w:b/>
          <w:i/>
          <w:noProof/>
          <w:u w:val="single"/>
        </w:rPr>
      </w:pPr>
      <w:r w:rsidRPr="00EB7716">
        <w:rPr>
          <w:b/>
          <w:i/>
          <w:noProof/>
          <w:u w:val="single"/>
        </w:rPr>
        <w:t xml:space="preserve">2.  Мониторинг за качеството на атмосферния въздух </w:t>
      </w:r>
    </w:p>
    <w:p w:rsidR="00D868E6" w:rsidRPr="00EB7716" w:rsidRDefault="00D868E6" w:rsidP="00D868E6">
      <w:pPr>
        <w:tabs>
          <w:tab w:val="left" w:pos="540"/>
        </w:tabs>
        <w:jc w:val="both"/>
        <w:rPr>
          <w:noProof/>
        </w:rPr>
      </w:pPr>
      <w:r w:rsidRPr="00EB7716">
        <w:rPr>
          <w:noProof/>
        </w:rPr>
        <w:lastRenderedPageBreak/>
        <w:tab/>
      </w:r>
      <w:r w:rsidRPr="00EB7716">
        <w:rPr>
          <w:noProof/>
        </w:rPr>
        <w:tab/>
        <w:t xml:space="preserve">В гр. Видин мониторингът за качеството на атмосферния въздух се осъществява от автоматична измервателна станция, намираща се в комплекс „Вида“. През 2018 година станцията е преместена, тъй като мястото до оживено кръстовище, където беше досега, не е подходящо – не са отчитани реално показателите. Новата площадка е в комплекс „Вида“. Мястото е определено от комисия, назначена от министъра на околната среда и водите. Пунктът е градски фонов, с контролирани замърсители „серен диоксид“ и „фини прахови частици – 10 µ“ </w:t>
      </w:r>
      <w:r w:rsidRPr="00EB7716">
        <w:rPr>
          <w:noProof/>
          <w:lang w:val="ru-RU"/>
        </w:rPr>
        <w:t>(</w:t>
      </w:r>
      <w:r w:rsidRPr="00EB7716">
        <w:t>ФПЧ</w:t>
      </w:r>
      <w:r w:rsidRPr="00EB7716">
        <w:rPr>
          <w:vertAlign w:val="subscript"/>
        </w:rPr>
        <w:t>10</w:t>
      </w:r>
      <w:r w:rsidRPr="00EB7716">
        <w:rPr>
          <w:noProof/>
          <w:lang w:val="ru-RU"/>
        </w:rPr>
        <w:t>)</w:t>
      </w:r>
      <w:r w:rsidRPr="00EB7716">
        <w:rPr>
          <w:noProof/>
        </w:rPr>
        <w:t>.</w:t>
      </w:r>
      <w:r w:rsidRPr="00EB7716">
        <w:rPr>
          <w:noProof/>
          <w:lang w:val="ru-RU"/>
        </w:rPr>
        <w:t xml:space="preserve"> </w:t>
      </w:r>
      <w:r w:rsidRPr="00EB7716">
        <w:rPr>
          <w:noProof/>
        </w:rPr>
        <w:t xml:space="preserve">Пробонабирането е непрекъснато, като резултатите се изпращат автоматично в районния диспечерски пункт, стациониран в РИОСВ – Монтана. </w:t>
      </w:r>
    </w:p>
    <w:p w:rsidR="00D868E6" w:rsidRPr="002B51F9" w:rsidRDefault="00D868E6" w:rsidP="00D868E6">
      <w:pPr>
        <w:tabs>
          <w:tab w:val="left" w:pos="540"/>
        </w:tabs>
        <w:jc w:val="both"/>
        <w:rPr>
          <w:b/>
          <w:i/>
          <w:lang w:val="ru-RU"/>
        </w:rPr>
      </w:pPr>
      <w:r w:rsidRPr="002B51F9">
        <w:rPr>
          <w:b/>
          <w:i/>
          <w:u w:val="single"/>
        </w:rPr>
        <w:t>3. Анализ за здравословното състояние на населението от област Видин по група болести от Клас Х „Болести на дихателната система“ на МКБ – 1</w:t>
      </w:r>
      <w:r w:rsidRPr="002B51F9">
        <w:rPr>
          <w:b/>
          <w:i/>
          <w:lang w:val="ru-RU"/>
        </w:rPr>
        <w:t>0</w:t>
      </w:r>
    </w:p>
    <w:p w:rsidR="00D868E6" w:rsidRPr="002B51F9" w:rsidRDefault="00D868E6" w:rsidP="00D868E6">
      <w:pPr>
        <w:ind w:firstLine="708"/>
        <w:jc w:val="both"/>
      </w:pPr>
      <w:r w:rsidRPr="002B51F9">
        <w:t>Анализът на заболеваемостта за 202</w:t>
      </w:r>
      <w:r w:rsidR="007D3851" w:rsidRPr="002B51F9">
        <w:t>2</w:t>
      </w:r>
      <w:r w:rsidRPr="002B51F9">
        <w:t>година е изготвен въз основа на предоставената от НЗОК справка за броя на първичните прегледи от изпълнители на ПИМП и СИМП за групи болести, включени в Клас Х „Болести на дихателната система“ на МКБ – 10.</w:t>
      </w:r>
    </w:p>
    <w:p w:rsidR="007D3851" w:rsidRPr="002B51F9" w:rsidRDefault="007D3851" w:rsidP="007D3851">
      <w:pPr>
        <w:ind w:firstLine="709"/>
        <w:jc w:val="both"/>
      </w:pPr>
      <w:r w:rsidRPr="002B51F9">
        <w:t xml:space="preserve">През 2022 година в област Видин са регистрирани 52 674 случая на болести от Клас Х „Болести на дихателната система“ на МКБ – 10. В сравнение с 2021 г. (43 780) броят на регистрираните болни е увеличен с 8894 случая. През 2020 година са били регистрирани </w:t>
      </w:r>
      <w:r w:rsidRPr="002B51F9">
        <w:rPr>
          <w:lang w:val="en-US"/>
        </w:rPr>
        <w:t>41 665</w:t>
      </w:r>
      <w:r w:rsidRPr="002B51F9">
        <w:t xml:space="preserve"> случая, а пък през 2019 година -</w:t>
      </w:r>
      <w:r w:rsidRPr="002B51F9">
        <w:rPr>
          <w:lang w:val="en-US"/>
        </w:rPr>
        <w:t xml:space="preserve"> </w:t>
      </w:r>
      <w:r w:rsidRPr="002B51F9">
        <w:t>51 096</w:t>
      </w:r>
    </w:p>
    <w:p w:rsidR="00E653B2" w:rsidRPr="002B51F9" w:rsidRDefault="00E653B2" w:rsidP="00E653B2">
      <w:pPr>
        <w:ind w:firstLine="708"/>
        <w:jc w:val="both"/>
      </w:pPr>
      <w:r w:rsidRPr="002B51F9">
        <w:t>Заболеваемостта на населението от областта през 202</w:t>
      </w:r>
      <w:r w:rsidRPr="002B51F9">
        <w:rPr>
          <w:lang w:val="en-US"/>
        </w:rPr>
        <w:t>2</w:t>
      </w:r>
      <w:r w:rsidRPr="002B51F9">
        <w:t xml:space="preserve"> година от болести от Клас Х „Болести на дихателната система“ на МКБ – 10 е </w:t>
      </w:r>
      <w:r w:rsidRPr="002B51F9">
        <w:rPr>
          <w:lang w:val="en-US"/>
        </w:rPr>
        <w:t>72</w:t>
      </w:r>
      <w:r w:rsidR="00BB2813">
        <w:t xml:space="preserve"> </w:t>
      </w:r>
      <w:r w:rsidRPr="002B51F9">
        <w:rPr>
          <w:lang w:val="en-US"/>
        </w:rPr>
        <w:t>754</w:t>
      </w:r>
      <w:r w:rsidRPr="002B51F9">
        <w:t xml:space="preserve"> на 100 000 души от населението и е увеличена в сравнение с тази през 202</w:t>
      </w:r>
      <w:r w:rsidRPr="002B51F9">
        <w:rPr>
          <w:lang w:val="en-US"/>
        </w:rPr>
        <w:t>1</w:t>
      </w:r>
      <w:r w:rsidRPr="002B51F9">
        <w:t xml:space="preserve"> година, когато е била 55 548 на 100 000 души от населението.</w:t>
      </w:r>
    </w:p>
    <w:p w:rsidR="00D868E6" w:rsidRPr="00951794" w:rsidRDefault="00D868E6" w:rsidP="00D868E6">
      <w:pPr>
        <w:ind w:firstLine="709"/>
        <w:jc w:val="both"/>
        <w:rPr>
          <w:color w:val="000000" w:themeColor="text1"/>
          <w:lang w:val="en-US"/>
        </w:rPr>
      </w:pPr>
      <w:r w:rsidRPr="00951794">
        <w:rPr>
          <w:color w:val="000000" w:themeColor="text1"/>
        </w:rPr>
        <w:t>Както и през 202</w:t>
      </w:r>
      <w:r w:rsidR="00EA24E9" w:rsidRPr="00951794">
        <w:rPr>
          <w:color w:val="000000" w:themeColor="text1"/>
          <w:lang w:val="en-US"/>
        </w:rPr>
        <w:t>1</w:t>
      </w:r>
      <w:r w:rsidRPr="00951794">
        <w:rPr>
          <w:color w:val="000000" w:themeColor="text1"/>
        </w:rPr>
        <w:t xml:space="preserve"> година (</w:t>
      </w:r>
      <w:r w:rsidR="00EA24E9" w:rsidRPr="00951794">
        <w:rPr>
          <w:color w:val="000000" w:themeColor="text1"/>
        </w:rPr>
        <w:t xml:space="preserve">29 749 </w:t>
      </w:r>
      <w:r w:rsidRPr="00951794">
        <w:rPr>
          <w:color w:val="000000" w:themeColor="text1"/>
        </w:rPr>
        <w:t>души) така и през 202</w:t>
      </w:r>
      <w:r w:rsidR="00EA24E9" w:rsidRPr="00951794">
        <w:rPr>
          <w:color w:val="000000" w:themeColor="text1"/>
          <w:lang w:val="en-US"/>
        </w:rPr>
        <w:t>2</w:t>
      </w:r>
      <w:r w:rsidRPr="00951794">
        <w:rPr>
          <w:color w:val="000000" w:themeColor="text1"/>
        </w:rPr>
        <w:t xml:space="preserve"> година най-много лица или </w:t>
      </w:r>
      <w:r w:rsidR="00EA24E9" w:rsidRPr="00951794">
        <w:rPr>
          <w:color w:val="000000" w:themeColor="text1"/>
          <w:lang w:val="en-US"/>
        </w:rPr>
        <w:t>38 360</w:t>
      </w:r>
      <w:r w:rsidRPr="00951794">
        <w:rPr>
          <w:color w:val="000000" w:themeColor="text1"/>
        </w:rPr>
        <w:t xml:space="preserve"> души са засегнати от остри инфекции на горните дихателни пътища (J00-J06), което е </w:t>
      </w:r>
      <w:r w:rsidR="00EA24E9" w:rsidRPr="00951794">
        <w:rPr>
          <w:color w:val="000000" w:themeColor="text1"/>
          <w:lang w:val="en-US"/>
        </w:rPr>
        <w:t>52 726</w:t>
      </w:r>
      <w:r w:rsidRPr="00951794">
        <w:rPr>
          <w:color w:val="000000" w:themeColor="text1"/>
        </w:rPr>
        <w:t xml:space="preserve"> на 100 000 души от населението, следвани от хронични болести на долните дихателни пътища (J40-J47) </w:t>
      </w:r>
      <w:r w:rsidR="00EA24E9" w:rsidRPr="00951794">
        <w:rPr>
          <w:color w:val="000000" w:themeColor="text1"/>
          <w:lang w:val="en-US"/>
        </w:rPr>
        <w:t>5 497</w:t>
      </w:r>
      <w:r w:rsidRPr="00951794">
        <w:rPr>
          <w:color w:val="000000" w:themeColor="text1"/>
        </w:rPr>
        <w:t xml:space="preserve">случая – </w:t>
      </w:r>
      <w:r w:rsidR="00EA24E9" w:rsidRPr="00951794">
        <w:rPr>
          <w:color w:val="000000" w:themeColor="text1"/>
          <w:lang w:val="en-US"/>
        </w:rPr>
        <w:t xml:space="preserve">7 556 </w:t>
      </w:r>
      <w:r w:rsidRPr="00951794">
        <w:rPr>
          <w:color w:val="000000" w:themeColor="text1"/>
        </w:rPr>
        <w:t xml:space="preserve">на 100 000 души от населението. На трето място по брой регистрирани първични прегледи и за двете години са други остри респираторни инфекции на долните дихателни пътища (J20-J22) – </w:t>
      </w:r>
      <w:r w:rsidR="00EA24E9" w:rsidRPr="00951794">
        <w:rPr>
          <w:color w:val="000000" w:themeColor="text1"/>
          <w:lang w:val="en-US"/>
        </w:rPr>
        <w:t>4 805</w:t>
      </w:r>
      <w:r w:rsidRPr="00951794">
        <w:rPr>
          <w:color w:val="000000" w:themeColor="text1"/>
        </w:rPr>
        <w:t xml:space="preserve"> лица през 202</w:t>
      </w:r>
      <w:r w:rsidR="00EA24E9" w:rsidRPr="00951794">
        <w:rPr>
          <w:color w:val="000000" w:themeColor="text1"/>
          <w:lang w:val="en-US"/>
        </w:rPr>
        <w:t>2</w:t>
      </w:r>
      <w:r w:rsidRPr="00951794">
        <w:rPr>
          <w:color w:val="000000" w:themeColor="text1"/>
        </w:rPr>
        <w:t xml:space="preserve"> година, което представлява </w:t>
      </w:r>
      <w:r w:rsidR="00EA24E9" w:rsidRPr="00951794">
        <w:rPr>
          <w:color w:val="000000" w:themeColor="text1"/>
          <w:lang w:val="en-US"/>
        </w:rPr>
        <w:t>6 604</w:t>
      </w:r>
      <w:r w:rsidRPr="00951794">
        <w:rPr>
          <w:color w:val="000000" w:themeColor="text1"/>
        </w:rPr>
        <w:t xml:space="preserve"> на 100 000 души от населението. Регистрираните случай на лица с грип и пневмония (J10-J18) са </w:t>
      </w:r>
      <w:r w:rsidR="00EA24E9" w:rsidRPr="00951794">
        <w:rPr>
          <w:color w:val="000000" w:themeColor="text1"/>
          <w:lang w:val="en-US"/>
        </w:rPr>
        <w:t>2085</w:t>
      </w:r>
      <w:r w:rsidRPr="00951794">
        <w:rPr>
          <w:color w:val="000000" w:themeColor="text1"/>
        </w:rPr>
        <w:t xml:space="preserve"> или </w:t>
      </w:r>
      <w:r w:rsidR="00EA24E9" w:rsidRPr="00951794">
        <w:rPr>
          <w:color w:val="000000" w:themeColor="text1"/>
          <w:lang w:val="en-US"/>
        </w:rPr>
        <w:t>2 866</w:t>
      </w:r>
      <w:r w:rsidRPr="00951794">
        <w:rPr>
          <w:color w:val="000000" w:themeColor="text1"/>
        </w:rPr>
        <w:t xml:space="preserve"> на 100 000 души от населението. От други болести на горните дихателни пътища (J30-J39) през 202</w:t>
      </w:r>
      <w:r w:rsidR="00EA24E9" w:rsidRPr="00951794">
        <w:rPr>
          <w:color w:val="000000" w:themeColor="text1"/>
          <w:lang w:val="en-US"/>
        </w:rPr>
        <w:t>2</w:t>
      </w:r>
      <w:r w:rsidRPr="00951794">
        <w:rPr>
          <w:color w:val="000000" w:themeColor="text1"/>
        </w:rPr>
        <w:t xml:space="preserve"> година в област Видин са боледували общо </w:t>
      </w:r>
      <w:r w:rsidR="00EA24E9" w:rsidRPr="00951794">
        <w:rPr>
          <w:color w:val="000000" w:themeColor="text1"/>
          <w:lang w:val="en-US"/>
        </w:rPr>
        <w:t xml:space="preserve">1 923 </w:t>
      </w:r>
      <w:r w:rsidRPr="00951794">
        <w:rPr>
          <w:color w:val="000000" w:themeColor="text1"/>
        </w:rPr>
        <w:t xml:space="preserve"> души или </w:t>
      </w:r>
      <w:r w:rsidRPr="00951794">
        <w:rPr>
          <w:color w:val="000000" w:themeColor="text1"/>
          <w:lang w:val="en-US"/>
        </w:rPr>
        <w:t xml:space="preserve">2 </w:t>
      </w:r>
      <w:r w:rsidR="00EA24E9" w:rsidRPr="00951794">
        <w:rPr>
          <w:color w:val="000000" w:themeColor="text1"/>
          <w:lang w:val="en-US"/>
        </w:rPr>
        <w:t>643</w:t>
      </w:r>
      <w:r w:rsidRPr="00951794">
        <w:rPr>
          <w:color w:val="000000" w:themeColor="text1"/>
        </w:rPr>
        <w:t xml:space="preserve"> на 100 000 души от населението. На последно място по регистрирани случаи попадат болестите на белия дроб, причинени от външни агенти (J60-J70), които са </w:t>
      </w:r>
      <w:r w:rsidR="00EA24E9" w:rsidRPr="00951794">
        <w:rPr>
          <w:color w:val="000000" w:themeColor="text1"/>
          <w:lang w:val="en-US"/>
        </w:rPr>
        <w:t>4</w:t>
      </w:r>
      <w:r w:rsidRPr="00951794">
        <w:rPr>
          <w:color w:val="000000" w:themeColor="text1"/>
        </w:rPr>
        <w:t xml:space="preserve"> за цялата област, което представлява </w:t>
      </w:r>
      <w:r w:rsidR="00EA24E9" w:rsidRPr="00951794">
        <w:rPr>
          <w:color w:val="000000" w:themeColor="text1"/>
          <w:lang w:val="en-US"/>
        </w:rPr>
        <w:t>5</w:t>
      </w:r>
      <w:r w:rsidRPr="00951794">
        <w:rPr>
          <w:color w:val="000000" w:themeColor="text1"/>
        </w:rPr>
        <w:t xml:space="preserve"> на 100 000 души от населението. При тази група болести се наблюдава </w:t>
      </w:r>
      <w:r w:rsidR="00EA24E9" w:rsidRPr="00951794">
        <w:rPr>
          <w:color w:val="000000" w:themeColor="text1"/>
        </w:rPr>
        <w:t>намаление</w:t>
      </w:r>
      <w:r w:rsidRPr="00951794">
        <w:rPr>
          <w:color w:val="000000" w:themeColor="text1"/>
        </w:rPr>
        <w:t xml:space="preserve"> на регистрираните случаи в сравнение с 202</w:t>
      </w:r>
      <w:r w:rsidR="00EA24E9" w:rsidRPr="00951794">
        <w:rPr>
          <w:color w:val="000000" w:themeColor="text1"/>
        </w:rPr>
        <w:t>1</w:t>
      </w:r>
      <w:r w:rsidRPr="00951794">
        <w:rPr>
          <w:color w:val="000000" w:themeColor="text1"/>
        </w:rPr>
        <w:t xml:space="preserve"> г. </w:t>
      </w:r>
    </w:p>
    <w:p w:rsidR="00D868E6" w:rsidRPr="00951794" w:rsidRDefault="00D868E6" w:rsidP="00D868E6">
      <w:pPr>
        <w:ind w:firstLine="709"/>
        <w:jc w:val="both"/>
        <w:rPr>
          <w:color w:val="000000" w:themeColor="text1"/>
          <w:lang w:val="en-US"/>
        </w:rPr>
      </w:pPr>
    </w:p>
    <w:p w:rsidR="00D868E6" w:rsidRPr="002751E6" w:rsidRDefault="00D868E6" w:rsidP="00D868E6">
      <w:pPr>
        <w:spacing w:after="200" w:line="276" w:lineRule="auto"/>
        <w:jc w:val="center"/>
        <w:rPr>
          <w:rFonts w:ascii="Calibri" w:eastAsia="Calibri" w:hAnsi="Calibri"/>
          <w:color w:val="FF0000"/>
          <w:sz w:val="22"/>
          <w:szCs w:val="22"/>
          <w:lang w:val="en-US" w:eastAsia="en-US"/>
        </w:rPr>
      </w:pPr>
      <w:r w:rsidRPr="002751E6">
        <w:rPr>
          <w:rFonts w:ascii="Calibri" w:eastAsia="Calibri" w:hAnsi="Calibri"/>
          <w:noProof/>
          <w:color w:val="FF0000"/>
          <w:sz w:val="22"/>
          <w:szCs w:val="22"/>
          <w:lang w:val="en-US" w:eastAsia="en-US"/>
        </w:rPr>
        <w:lastRenderedPageBreak/>
        <w:drawing>
          <wp:inline distT="0" distB="0" distL="0" distR="0">
            <wp:extent cx="4867275" cy="2933700"/>
            <wp:effectExtent l="0" t="0" r="9525" b="0"/>
            <wp:docPr id="21" name="Диагра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868E6" w:rsidRPr="00F75F68" w:rsidRDefault="00D868E6" w:rsidP="00D868E6">
      <w:pPr>
        <w:ind w:firstLine="708"/>
        <w:jc w:val="both"/>
      </w:pPr>
      <w:r w:rsidRPr="001A67B3">
        <w:t xml:space="preserve">Заболеваемостта през </w:t>
      </w:r>
      <w:r w:rsidR="001A67B3" w:rsidRPr="001A67B3">
        <w:t>2020</w:t>
      </w:r>
      <w:r w:rsidRPr="001A67B3">
        <w:t xml:space="preserve"> година при децата до 17 години е била </w:t>
      </w:r>
      <w:r w:rsidR="001A67B3" w:rsidRPr="001A67B3">
        <w:t xml:space="preserve">206 592 </w:t>
      </w:r>
      <w:r w:rsidRPr="001A67B3">
        <w:t>на сто хиляди души от населението, а при лицата над 1</w:t>
      </w:r>
      <w:r w:rsidR="001A67B3" w:rsidRPr="001A67B3">
        <w:t>7</w:t>
      </w:r>
      <w:r w:rsidRPr="001A67B3">
        <w:t xml:space="preserve"> е </w:t>
      </w:r>
      <w:r w:rsidR="001A67B3" w:rsidRPr="001A67B3">
        <w:t xml:space="preserve">15 105 </w:t>
      </w:r>
      <w:r w:rsidRPr="001A67B3">
        <w:t xml:space="preserve">на сто хиляди души. През  </w:t>
      </w:r>
      <w:r w:rsidR="001A67B3" w:rsidRPr="001A67B3">
        <w:t xml:space="preserve">2021 </w:t>
      </w:r>
      <w:r w:rsidRPr="001A67B3">
        <w:t xml:space="preserve">година данните сочат, че заболеваемостта при младото население </w:t>
      </w:r>
      <w:r w:rsidR="001A67B3" w:rsidRPr="001A67B3">
        <w:t>с</w:t>
      </w:r>
      <w:r w:rsidRPr="001A67B3">
        <w:t xml:space="preserve">е </w:t>
      </w:r>
      <w:r w:rsidR="001A67B3" w:rsidRPr="001A67B3">
        <w:t xml:space="preserve">е увеличила </w:t>
      </w:r>
      <w:r w:rsidRPr="001A67B3">
        <w:rPr>
          <w:lang w:val="ru-RU"/>
        </w:rPr>
        <w:t xml:space="preserve"> и </w:t>
      </w:r>
      <w:r w:rsidRPr="001A67B3">
        <w:t xml:space="preserve">вече е </w:t>
      </w:r>
      <w:r w:rsidR="001A67B3" w:rsidRPr="001A67B3">
        <w:t xml:space="preserve">236 151 </w:t>
      </w:r>
      <w:r w:rsidRPr="001A67B3">
        <w:t xml:space="preserve">на сто хиляди души от населението. При населението във възрастовата група над 17 години също </w:t>
      </w:r>
      <w:r w:rsidR="001A67B3" w:rsidRPr="001A67B3">
        <w:t>с</w:t>
      </w:r>
      <w:r w:rsidRPr="001A67B3">
        <w:t xml:space="preserve">е </w:t>
      </w:r>
      <w:r w:rsidR="001A67B3" w:rsidRPr="001A67B3">
        <w:t>е увеличила</w:t>
      </w:r>
      <w:r w:rsidRPr="001A67B3">
        <w:t xml:space="preserve"> и е </w:t>
      </w:r>
      <w:r w:rsidR="001A67B3" w:rsidRPr="001A67B3">
        <w:t xml:space="preserve">19 562 </w:t>
      </w:r>
      <w:r w:rsidRPr="001A67B3">
        <w:t xml:space="preserve">на сто хиляди души от населението. </w:t>
      </w:r>
      <w:r w:rsidRPr="00F75F68">
        <w:t xml:space="preserve">През  </w:t>
      </w:r>
      <w:r w:rsidR="001A67B3" w:rsidRPr="00F75F68">
        <w:t xml:space="preserve">2022 </w:t>
      </w:r>
      <w:r w:rsidRPr="00F75F68">
        <w:t xml:space="preserve">година </w:t>
      </w:r>
      <w:r w:rsidR="00F75F68" w:rsidRPr="00F75F68">
        <w:t>отново</w:t>
      </w:r>
      <w:r w:rsidRPr="00F75F68">
        <w:t xml:space="preserve"> се наблюдава увеличение на заболеваемостта от болести включени в Клас Х „Болести на дихателната система“ на МКБ – 10, а именно </w:t>
      </w:r>
      <w:r w:rsidR="00F75F68" w:rsidRPr="00F75F68">
        <w:t xml:space="preserve">340 234 </w:t>
      </w:r>
      <w:r w:rsidRPr="00F75F68">
        <w:t>при децата до 17 години е на сто хиляди души от населението, а при лицата над 1</w:t>
      </w:r>
      <w:r w:rsidR="00F75F68" w:rsidRPr="00F75F68">
        <w:t>7</w:t>
      </w:r>
      <w:r w:rsidRPr="00F75F68">
        <w:t xml:space="preserve"> е </w:t>
      </w:r>
      <w:r w:rsidR="00F75F68" w:rsidRPr="00F75F68">
        <w:t xml:space="preserve">20 949 </w:t>
      </w:r>
      <w:r w:rsidRPr="00F75F68">
        <w:t xml:space="preserve">на сто хиляди души. </w:t>
      </w:r>
    </w:p>
    <w:p w:rsidR="00D868E6" w:rsidRPr="002B51F9" w:rsidRDefault="00D868E6" w:rsidP="00D868E6">
      <w:pPr>
        <w:ind w:firstLine="709"/>
        <w:jc w:val="both"/>
      </w:pPr>
      <w:r w:rsidRPr="002B51F9">
        <w:t>През 202</w:t>
      </w:r>
      <w:r w:rsidR="00D34AD6" w:rsidRPr="002B51F9">
        <w:t>2</w:t>
      </w:r>
      <w:r w:rsidRPr="002B51F9">
        <w:t xml:space="preserve"> година във възрастовата група 0 до 17 години общият брой на регистрираните деца от болести на дихателната система на МКБ – 10 е </w:t>
      </w:r>
      <w:r w:rsidR="00D34AD6" w:rsidRPr="002B51F9">
        <w:t>39 889</w:t>
      </w:r>
      <w:r w:rsidRPr="002B51F9">
        <w:t xml:space="preserve">, което представлява </w:t>
      </w:r>
      <w:r w:rsidR="00B41197" w:rsidRPr="002B51F9">
        <w:t>75,7</w:t>
      </w:r>
      <w:r w:rsidR="00951794">
        <w:t>3</w:t>
      </w:r>
      <w:r w:rsidRPr="002B51F9">
        <w:t>% от всички регистрирани от болести от Клас Х. През 202</w:t>
      </w:r>
      <w:r w:rsidR="00B41197" w:rsidRPr="002B51F9">
        <w:t>1</w:t>
      </w:r>
      <w:r w:rsidRPr="002B51F9">
        <w:t xml:space="preserve"> година във възрастовата група 0 до 17 години общият брой на регистрираните деца от болести на дихателната система на МКБ – 10 е </w:t>
      </w:r>
      <w:r w:rsidR="00B41197" w:rsidRPr="002B51F9">
        <w:rPr>
          <w:lang w:val="en-US"/>
        </w:rPr>
        <w:t>30 924</w:t>
      </w:r>
      <w:r w:rsidR="00B41197" w:rsidRPr="002B51F9">
        <w:t>,</w:t>
      </w:r>
      <w:r w:rsidRPr="002B51F9">
        <w:t xml:space="preserve"> което представлява </w:t>
      </w:r>
      <w:r w:rsidR="00B41197" w:rsidRPr="002B51F9">
        <w:rPr>
          <w:lang w:val="en-US"/>
        </w:rPr>
        <w:t>70</w:t>
      </w:r>
      <w:r w:rsidR="00B41197" w:rsidRPr="002B51F9">
        <w:t>,</w:t>
      </w:r>
      <w:r w:rsidR="00B41197" w:rsidRPr="002B51F9">
        <w:rPr>
          <w:lang w:val="en-US"/>
        </w:rPr>
        <w:t>63</w:t>
      </w:r>
      <w:r w:rsidR="00B41197" w:rsidRPr="002B51F9">
        <w:t xml:space="preserve">% </w:t>
      </w:r>
      <w:r w:rsidRPr="002B51F9">
        <w:t>от всички регистрирани от болести от Клас Х. През 20</w:t>
      </w:r>
      <w:r w:rsidR="00B41197" w:rsidRPr="002B51F9">
        <w:t>20</w:t>
      </w:r>
      <w:r w:rsidRPr="002B51F9">
        <w:t xml:space="preserve"> година във възрастовата група 0 до 17 години общият брой на регистрираните деца от болести на дихателната система на МКБ – 10 </w:t>
      </w:r>
      <w:r w:rsidR="00B41197" w:rsidRPr="002B51F9">
        <w:t xml:space="preserve">е </w:t>
      </w:r>
      <w:r w:rsidR="00B41197" w:rsidRPr="002B51F9">
        <w:rPr>
          <w:lang w:val="en-US"/>
        </w:rPr>
        <w:t>27</w:t>
      </w:r>
      <w:r w:rsidR="00B41197" w:rsidRPr="002B51F9">
        <w:t xml:space="preserve"> </w:t>
      </w:r>
      <w:r w:rsidR="00B41197" w:rsidRPr="002B51F9">
        <w:rPr>
          <w:lang w:val="en-US"/>
        </w:rPr>
        <w:t>675</w:t>
      </w:r>
      <w:r w:rsidR="00B41197" w:rsidRPr="002B51F9">
        <w:t xml:space="preserve">, което представлява </w:t>
      </w:r>
      <w:r w:rsidR="00B41197" w:rsidRPr="002B51F9">
        <w:rPr>
          <w:lang w:val="en-US"/>
        </w:rPr>
        <w:t>66</w:t>
      </w:r>
      <w:r w:rsidR="00B41197" w:rsidRPr="002B51F9">
        <w:t>,</w:t>
      </w:r>
      <w:r w:rsidR="00B41197" w:rsidRPr="002B51F9">
        <w:rPr>
          <w:lang w:val="en-US"/>
        </w:rPr>
        <w:t>42</w:t>
      </w:r>
      <w:r w:rsidR="00B41197" w:rsidRPr="002B51F9">
        <w:t xml:space="preserve">% </w:t>
      </w:r>
      <w:r w:rsidRPr="002B51F9">
        <w:t>от всички регистрирани от болести от Клас Х.</w:t>
      </w:r>
      <w:r w:rsidRPr="002B51F9">
        <w:rPr>
          <w:lang w:val="en-US"/>
        </w:rPr>
        <w:t xml:space="preserve"> </w:t>
      </w:r>
      <w:r w:rsidRPr="002B51F9">
        <w:t xml:space="preserve">През анализираната година броят на регистрираните случай от болести от Клас Х във възрастовата група над 18 години е по-малък в сравнение с този при децата или по-точно 12 </w:t>
      </w:r>
      <w:r w:rsidR="00B41197" w:rsidRPr="002B51F9">
        <w:t>785</w:t>
      </w:r>
      <w:r w:rsidRPr="002B51F9">
        <w:t xml:space="preserve"> случая, което представлява </w:t>
      </w:r>
      <w:r w:rsidR="00B41197" w:rsidRPr="002B51F9">
        <w:t>24,27</w:t>
      </w:r>
      <w:r w:rsidRPr="002B51F9">
        <w:t>% от всички заболели от анализираните групи болести. Същото се наблюдава и при предходните 20</w:t>
      </w:r>
      <w:r w:rsidR="00B41197" w:rsidRPr="002B51F9">
        <w:t>20</w:t>
      </w:r>
      <w:r w:rsidRPr="002B51F9">
        <w:t xml:space="preserve"> и 202</w:t>
      </w:r>
      <w:r w:rsidR="00B41197" w:rsidRPr="002B51F9">
        <w:t>1</w:t>
      </w:r>
      <w:r w:rsidRPr="002B51F9">
        <w:t xml:space="preserve"> година. </w:t>
      </w:r>
    </w:p>
    <w:p w:rsidR="00895C25" w:rsidRPr="00EB4B3C" w:rsidRDefault="00D868E6" w:rsidP="00EB4B3C">
      <w:pPr>
        <w:ind w:firstLine="709"/>
        <w:jc w:val="both"/>
      </w:pPr>
      <w:proofErr w:type="spellStart"/>
      <w:r w:rsidRPr="00EB4B3C">
        <w:t>Пр</w:t>
      </w:r>
      <w:r w:rsidRPr="00EB4B3C">
        <w:rPr>
          <w:lang w:val="en-US"/>
        </w:rPr>
        <w:t>ез</w:t>
      </w:r>
      <w:proofErr w:type="spellEnd"/>
      <w:r w:rsidRPr="00EB4B3C">
        <w:t xml:space="preserve"> 202</w:t>
      </w:r>
      <w:r w:rsidR="00AA3CC6" w:rsidRPr="00EB4B3C">
        <w:t>2</w:t>
      </w:r>
      <w:r w:rsidRPr="00EB4B3C">
        <w:t xml:space="preserve"> година подредбата на заболяванията от Клас Х е </w:t>
      </w:r>
      <w:r w:rsidR="00EB4B3C" w:rsidRPr="00EB4B3C">
        <w:t xml:space="preserve">с малки разминавания и в двете възрастови групи в сравнение с </w:t>
      </w:r>
      <w:r w:rsidRPr="00EB4B3C">
        <w:t xml:space="preserve"> тази през 202</w:t>
      </w:r>
      <w:r w:rsidR="00AA3CC6" w:rsidRPr="00EB4B3C">
        <w:t>1</w:t>
      </w:r>
      <w:r w:rsidRPr="00EB4B3C">
        <w:t xml:space="preserve"> г. </w:t>
      </w:r>
      <w:r w:rsidR="00EB4B3C" w:rsidRPr="00EB4B3C">
        <w:t xml:space="preserve">На </w:t>
      </w:r>
      <w:r w:rsidRPr="00EB4B3C">
        <w:t xml:space="preserve">първо място и при двете възрастови групи е заето от остри инфекции на горните дихателни пътища </w:t>
      </w:r>
      <w:r w:rsidRPr="00EB4B3C">
        <w:rPr>
          <w:lang w:val="ru-RU"/>
        </w:rPr>
        <w:t>(</w:t>
      </w:r>
      <w:r w:rsidRPr="00EB4B3C">
        <w:rPr>
          <w:lang w:val="en-US"/>
        </w:rPr>
        <w:t>J</w:t>
      </w:r>
      <w:r w:rsidRPr="00EB4B3C">
        <w:t>00-</w:t>
      </w:r>
      <w:r w:rsidRPr="00EB4B3C">
        <w:rPr>
          <w:lang w:val="en-US"/>
        </w:rPr>
        <w:t>J</w:t>
      </w:r>
      <w:r w:rsidRPr="00EB4B3C">
        <w:t>06</w:t>
      </w:r>
      <w:r w:rsidRPr="00EB4B3C">
        <w:rPr>
          <w:lang w:val="ru-RU"/>
        </w:rPr>
        <w:t>)</w:t>
      </w:r>
      <w:r w:rsidRPr="00EB4B3C">
        <w:t xml:space="preserve">. При лицата от 0 до 17 години случите са </w:t>
      </w:r>
      <w:r w:rsidR="00AA3CC6" w:rsidRPr="00EB4B3C">
        <w:t>33 903</w:t>
      </w:r>
      <w:r w:rsidRPr="00EB4B3C">
        <w:t xml:space="preserve"> или това са </w:t>
      </w:r>
      <w:r w:rsidR="00AA3CC6" w:rsidRPr="00EB4B3C">
        <w:t>64,36</w:t>
      </w:r>
      <w:r w:rsidRPr="00EB4B3C">
        <w:t xml:space="preserve">% от всички случаи. При лицата на възраст над 18 години от остри инфекции на горните дихателни пътища </w:t>
      </w:r>
      <w:r w:rsidRPr="00EB4B3C">
        <w:rPr>
          <w:lang w:val="ru-RU"/>
        </w:rPr>
        <w:t>(</w:t>
      </w:r>
      <w:r w:rsidRPr="00EB4B3C">
        <w:rPr>
          <w:lang w:val="en-US"/>
        </w:rPr>
        <w:t>J</w:t>
      </w:r>
      <w:r w:rsidRPr="00EB4B3C">
        <w:t>00-</w:t>
      </w:r>
      <w:r w:rsidRPr="00EB4B3C">
        <w:rPr>
          <w:lang w:val="en-US"/>
        </w:rPr>
        <w:t>J</w:t>
      </w:r>
      <w:r w:rsidRPr="00EB4B3C">
        <w:t>06</w:t>
      </w:r>
      <w:r w:rsidRPr="00EB4B3C">
        <w:rPr>
          <w:lang w:val="ru-RU"/>
        </w:rPr>
        <w:t>)</w:t>
      </w:r>
      <w:r w:rsidRPr="00EB4B3C">
        <w:t xml:space="preserve"> са заболели </w:t>
      </w:r>
      <w:r w:rsidR="00AA3CC6" w:rsidRPr="00EB4B3C">
        <w:t>4 457</w:t>
      </w:r>
      <w:r w:rsidRPr="00EB4B3C">
        <w:t xml:space="preserve"> лица или това представлява </w:t>
      </w:r>
      <w:r w:rsidR="00AA3CC6" w:rsidRPr="00EB4B3C">
        <w:t>8,46</w:t>
      </w:r>
      <w:r w:rsidRPr="00EB4B3C">
        <w:t xml:space="preserve">% от всички случаи. Второто място при децата е заето от други остри респираторни инфекции на долните дихателни пътища (J20-J22) с </w:t>
      </w:r>
      <w:r w:rsidR="00AA3CC6" w:rsidRPr="00EB4B3C">
        <w:t>3 082</w:t>
      </w:r>
      <w:r w:rsidRPr="00EB4B3C">
        <w:t xml:space="preserve"> случая или това са </w:t>
      </w:r>
      <w:r w:rsidR="00AA3CC6" w:rsidRPr="00EB4B3C">
        <w:t>5,85</w:t>
      </w:r>
      <w:r w:rsidRPr="00EB4B3C">
        <w:t xml:space="preserve">% от всички случаи. </w:t>
      </w:r>
      <w:r w:rsidR="00AA3CC6" w:rsidRPr="00EB4B3C">
        <w:t>На второ място във възрастовата група над 18 години се нареждат</w:t>
      </w:r>
      <w:r w:rsidR="00C97AEC" w:rsidRPr="00EB4B3C">
        <w:t xml:space="preserve"> хронични болести на долните дихателни пътища (J40-J47) </w:t>
      </w:r>
      <w:r w:rsidR="00C97AEC" w:rsidRPr="00EB4B3C">
        <w:lastRenderedPageBreak/>
        <w:t>с 3612 случая при децата, което е 6,86% от всички случаи.</w:t>
      </w:r>
      <w:r w:rsidR="00AA3CC6" w:rsidRPr="00EB4B3C">
        <w:t xml:space="preserve"> На трето място, при децата, се нареждат хронични болести на долните дихателни пътища (J40-J47) с </w:t>
      </w:r>
      <w:r w:rsidR="00C97AEC" w:rsidRPr="00EB4B3C">
        <w:t>1 885</w:t>
      </w:r>
      <w:r w:rsidR="00AA3CC6" w:rsidRPr="00EB4B3C">
        <w:t xml:space="preserve"> случая при децата, което е </w:t>
      </w:r>
      <w:r w:rsidR="00C97AEC" w:rsidRPr="00EB4B3C">
        <w:t>3,58%,</w:t>
      </w:r>
      <w:r w:rsidR="00EB4B3C" w:rsidRPr="00EB4B3C">
        <w:t xml:space="preserve"> </w:t>
      </w:r>
      <w:r w:rsidR="00C97AEC" w:rsidRPr="00EB4B3C">
        <w:t>докато при лицата над 18 години на тази позиция са други остри респираторни инфекции на долните дихателни пътища (J20-J22) с 1 723 или 3,27% от всички регистрирани случай.</w:t>
      </w:r>
      <w:r w:rsidR="00AA3CC6" w:rsidRPr="00EB4B3C">
        <w:t xml:space="preserve"> </w:t>
      </w:r>
      <w:r w:rsidR="00C97AEC" w:rsidRPr="00EB4B3C">
        <w:t>Ч</w:t>
      </w:r>
      <w:r w:rsidR="00AA3CC6" w:rsidRPr="00EB4B3C">
        <w:t>етвъртото място при децата</w:t>
      </w:r>
      <w:r w:rsidR="00AA3CC6" w:rsidRPr="00EB4B3C">
        <w:rPr>
          <w:lang w:val="ru-RU"/>
        </w:rPr>
        <w:t xml:space="preserve"> е </w:t>
      </w:r>
      <w:proofErr w:type="spellStart"/>
      <w:r w:rsidR="00AA3CC6" w:rsidRPr="00EB4B3C">
        <w:rPr>
          <w:lang w:val="ru-RU"/>
        </w:rPr>
        <w:t>заето</w:t>
      </w:r>
      <w:proofErr w:type="spellEnd"/>
      <w:r w:rsidR="00AA3CC6" w:rsidRPr="00EB4B3C">
        <w:rPr>
          <w:lang w:val="ru-RU"/>
        </w:rPr>
        <w:t xml:space="preserve"> </w:t>
      </w:r>
      <w:r w:rsidR="00C97AEC" w:rsidRPr="00EB4B3C">
        <w:t xml:space="preserve"> от  други болести на горните дихателни пътища (J30-J39) с 575 случая при децата, което е 1,09% от всички регистрирани</w:t>
      </w:r>
      <w:r w:rsidR="00895C25" w:rsidRPr="00EB4B3C">
        <w:t>.</w:t>
      </w:r>
      <w:r w:rsidR="00AA3CC6" w:rsidRPr="00EB4B3C">
        <w:t xml:space="preserve"> </w:t>
      </w:r>
      <w:r w:rsidR="00C97AEC" w:rsidRPr="00EB4B3C">
        <w:t>На четвърто място във възрастовата група над 18 години се нареждат грип и пневмония (J10-J18</w:t>
      </w:r>
      <w:r w:rsidR="00C97AEC" w:rsidRPr="00EB4B3C">
        <w:rPr>
          <w:lang w:val="ru-RU"/>
        </w:rPr>
        <w:t xml:space="preserve">) </w:t>
      </w:r>
      <w:r w:rsidR="00C97AEC" w:rsidRPr="00EB4B3C">
        <w:t xml:space="preserve">с 1 642 случая, което представлява 3,12%, тази позиция е пета за лицата до 18 години </w:t>
      </w:r>
      <w:r w:rsidR="00895C25" w:rsidRPr="00EB4B3C">
        <w:t xml:space="preserve">или </w:t>
      </w:r>
      <w:r w:rsidR="00C97AEC" w:rsidRPr="00EB4B3C">
        <w:t>грип и пневмония (J10-J18</w:t>
      </w:r>
      <w:r w:rsidR="00C97AEC" w:rsidRPr="00EB4B3C">
        <w:rPr>
          <w:lang w:val="ru-RU"/>
        </w:rPr>
        <w:t xml:space="preserve">) </w:t>
      </w:r>
      <w:r w:rsidR="00C97AEC" w:rsidRPr="00EB4B3C">
        <w:t xml:space="preserve">с </w:t>
      </w:r>
      <w:r w:rsidR="00895C25" w:rsidRPr="00EB4B3C">
        <w:t>443</w:t>
      </w:r>
      <w:r w:rsidR="00C97AEC" w:rsidRPr="00EB4B3C">
        <w:t xml:space="preserve"> случая, което представлява </w:t>
      </w:r>
      <w:r w:rsidR="00895C25" w:rsidRPr="00EB4B3C">
        <w:t>0,84</w:t>
      </w:r>
      <w:r w:rsidR="00C97AEC" w:rsidRPr="00EB4B3C">
        <w:t>% от всички случаи</w:t>
      </w:r>
      <w:r w:rsidR="00895C25" w:rsidRPr="00EB4B3C">
        <w:t>.</w:t>
      </w:r>
      <w:r w:rsidR="00EB4B3C" w:rsidRPr="00EB4B3C">
        <w:t xml:space="preserve"> </w:t>
      </w:r>
      <w:r w:rsidR="00895C25" w:rsidRPr="00EB4B3C">
        <w:t>Пета позиция  за лица над 18 години е заета от  други болести на горните дихателни пътища (J30-J39) с 1 348 случая, което е 2,56% от всички регистрирани. На шесто  място, както при децата, така и при възрастните са регистрирани 3 случая при възрастните с болести на белия дроб, причинени от външни агенти (J60-J70), което представлява 0,006% и 1 лице при децата, което представлява 0,002% от всички регистрирани</w:t>
      </w:r>
    </w:p>
    <w:p w:rsidR="00D868E6" w:rsidRPr="002B51F9" w:rsidRDefault="00D868E6" w:rsidP="00D868E6">
      <w:pPr>
        <w:jc w:val="center"/>
        <w:rPr>
          <w:b/>
        </w:rPr>
      </w:pPr>
    </w:p>
    <w:p w:rsidR="00D868E6" w:rsidRPr="002B51F9" w:rsidRDefault="00D868E6" w:rsidP="00D868E6">
      <w:pPr>
        <w:jc w:val="center"/>
        <w:rPr>
          <w:b/>
        </w:rPr>
      </w:pPr>
      <w:r w:rsidRPr="002B51F9">
        <w:rPr>
          <w:b/>
        </w:rPr>
        <w:t xml:space="preserve">Клас </w:t>
      </w:r>
      <w:r w:rsidRPr="002B51F9">
        <w:rPr>
          <w:b/>
          <w:lang w:val="en-US"/>
        </w:rPr>
        <w:t>X</w:t>
      </w:r>
      <w:r w:rsidRPr="002B51F9">
        <w:rPr>
          <w:b/>
        </w:rPr>
        <w:t xml:space="preserve"> „Болести на дихателната система“ на МКБ – 10 в област Видин</w:t>
      </w:r>
    </w:p>
    <w:p w:rsidR="00D868E6" w:rsidRPr="002B51F9" w:rsidRDefault="00D868E6" w:rsidP="00D868E6">
      <w:pPr>
        <w:spacing w:after="200" w:line="276" w:lineRule="auto"/>
        <w:jc w:val="center"/>
        <w:rPr>
          <w:rFonts w:ascii="Calibri" w:eastAsia="Calibri" w:hAnsi="Calibri"/>
          <w:sz w:val="22"/>
          <w:szCs w:val="22"/>
          <w:lang w:eastAsia="en-US"/>
        </w:rPr>
      </w:pPr>
      <w:r w:rsidRPr="002B51F9">
        <w:rPr>
          <w:rFonts w:ascii="Calibri" w:eastAsia="Calibri" w:hAnsi="Calibri"/>
          <w:noProof/>
          <w:sz w:val="22"/>
          <w:szCs w:val="22"/>
          <w:lang w:val="en-US" w:eastAsia="en-US"/>
        </w:rPr>
        <w:drawing>
          <wp:inline distT="0" distB="0" distL="0" distR="0" wp14:anchorId="4F7BF21C" wp14:editId="61040A9D">
            <wp:extent cx="5187950" cy="3249930"/>
            <wp:effectExtent l="0" t="0" r="0" b="0"/>
            <wp:docPr id="18" name="Диагра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868E6" w:rsidRPr="002B51F9" w:rsidRDefault="00D868E6" w:rsidP="00D868E6">
      <w:pPr>
        <w:ind w:firstLine="708"/>
        <w:jc w:val="both"/>
      </w:pPr>
      <w:r w:rsidRPr="002B51F9">
        <w:t>От направения анализ и при сравнение на разпределението на регистрираните случай в двете проучвани възрастови групи става видно, че както децата така и възрастните боледуват най-често от остри инфекции на горните дихателни пътища (J00-J06). Следващата група болести по честота при децата е други остри респираторни инфекции на долните дихателни пътища (J20-J22), а при населението над 18 години</w:t>
      </w:r>
      <w:r w:rsidR="004F4104" w:rsidRPr="002B51F9">
        <w:t xml:space="preserve"> е заето от хронични болести на долните дихателни пътища (J40-J47) това е и третата позиция при децата.</w:t>
      </w:r>
      <w:r w:rsidR="00EB4B3C">
        <w:t xml:space="preserve"> </w:t>
      </w:r>
      <w:r w:rsidR="004F4104" w:rsidRPr="002B51F9">
        <w:t>При лица над 18 години на трето място  е от други остри респираторни инфекции на долните дихателни пътища (J20-J22).</w:t>
      </w:r>
      <w:r w:rsidRPr="002B51F9">
        <w:t xml:space="preserve"> При децата </w:t>
      </w:r>
      <w:r w:rsidR="004F4104" w:rsidRPr="002B51F9">
        <w:t xml:space="preserve">на </w:t>
      </w:r>
      <w:r w:rsidRPr="002B51F9">
        <w:t xml:space="preserve">четвъртото място е заето </w:t>
      </w:r>
      <w:r w:rsidR="004F4104" w:rsidRPr="002B51F9">
        <w:t>от други болести на горните дихателни пътища (J30-J39)</w:t>
      </w:r>
      <w:r w:rsidR="00745FEC" w:rsidRPr="002B51F9">
        <w:t>,</w:t>
      </w:r>
      <w:r w:rsidR="004F4104" w:rsidRPr="002B51F9">
        <w:t xml:space="preserve">при възрастни  на това място е </w:t>
      </w:r>
      <w:r w:rsidR="00745FEC" w:rsidRPr="002B51F9">
        <w:t>грип и пневмония (J10-J18).На пета позиция при лицата над 18 години е заето от други болести на горните дихателни пътища (J30-J39),при децата  на това място е грип и пневмония (J10-J18).</w:t>
      </w:r>
      <w:r w:rsidRPr="002B51F9">
        <w:t xml:space="preserve"> На последно място </w:t>
      </w:r>
      <w:r w:rsidRPr="002B51F9">
        <w:lastRenderedPageBreak/>
        <w:t xml:space="preserve">при населението над 18 </w:t>
      </w:r>
      <w:r w:rsidR="00745FEC" w:rsidRPr="002B51F9">
        <w:t xml:space="preserve">и до </w:t>
      </w:r>
      <w:r w:rsidRPr="002B51F9">
        <w:t>години с най-малко регистрирани случаи са болести на белия дроб, причинени от външни агенти (J60-J70). Подредбата на групите болести на дихателната система на МКБ – 10 през 202</w:t>
      </w:r>
      <w:r w:rsidR="001E79AD" w:rsidRPr="002B51F9">
        <w:t>2</w:t>
      </w:r>
      <w:r w:rsidRPr="002B51F9">
        <w:t xml:space="preserve"> година </w:t>
      </w:r>
      <w:r w:rsidR="001E79AD" w:rsidRPr="002B51F9">
        <w:t xml:space="preserve">се различава от </w:t>
      </w:r>
      <w:r w:rsidRPr="002B51F9">
        <w:t xml:space="preserve"> предходната 202</w:t>
      </w:r>
      <w:r w:rsidR="001E79AD" w:rsidRPr="002B51F9">
        <w:t>1</w:t>
      </w:r>
      <w:r w:rsidRPr="002B51F9">
        <w:t xml:space="preserve"> година при </w:t>
      </w:r>
      <w:r w:rsidR="001E79AD" w:rsidRPr="002B51F9">
        <w:t xml:space="preserve">двете </w:t>
      </w:r>
      <w:r w:rsidRPr="002B51F9">
        <w:t>възрастов</w:t>
      </w:r>
      <w:r w:rsidR="001E79AD" w:rsidRPr="002B51F9">
        <w:t>и</w:t>
      </w:r>
      <w:r w:rsidRPr="002B51F9">
        <w:t xml:space="preserve"> груп</w:t>
      </w:r>
      <w:r w:rsidR="001E79AD" w:rsidRPr="002B51F9">
        <w:t>и</w:t>
      </w:r>
      <w:r w:rsidRPr="002B51F9">
        <w:t>.  През 202</w:t>
      </w:r>
      <w:r w:rsidR="001E79AD" w:rsidRPr="002B51F9">
        <w:t>2</w:t>
      </w:r>
      <w:r w:rsidRPr="002B51F9">
        <w:t xml:space="preserve"> година при младото население 0-17 години продължава да е по-висок процентът на регистрираните случай от болести от Клас Х „Болести на дихателната система“ на МКБ – 10.</w:t>
      </w:r>
    </w:p>
    <w:p w:rsidR="00D868E6" w:rsidRPr="00F75F68" w:rsidRDefault="00D868E6" w:rsidP="00D868E6">
      <w:pPr>
        <w:widowControl w:val="0"/>
        <w:jc w:val="both"/>
        <w:rPr>
          <w:b/>
          <w:i/>
          <w:u w:val="single"/>
        </w:rPr>
      </w:pPr>
      <w:r w:rsidRPr="00F75F68">
        <w:rPr>
          <w:b/>
          <w:i/>
          <w:u w:val="single"/>
        </w:rPr>
        <w:t xml:space="preserve">4. Препоръки за намаляване </w:t>
      </w:r>
      <w:r w:rsidR="000A1293" w:rsidRPr="00F75F68">
        <w:rPr>
          <w:b/>
          <w:i/>
          <w:u w:val="single"/>
        </w:rPr>
        <w:t>е</w:t>
      </w:r>
      <w:r w:rsidRPr="00F75F68">
        <w:rPr>
          <w:b/>
          <w:i/>
          <w:u w:val="single"/>
        </w:rPr>
        <w:t>мисионните нива на замърсителите с цел ограничаване на тяхното вредно въздействие върху здравето на населението</w:t>
      </w:r>
    </w:p>
    <w:p w:rsidR="00D868E6" w:rsidRPr="00F75F68" w:rsidRDefault="00D868E6" w:rsidP="00D868E6">
      <w:pPr>
        <w:numPr>
          <w:ilvl w:val="0"/>
          <w:numId w:val="4"/>
        </w:numPr>
        <w:jc w:val="both"/>
      </w:pPr>
      <w:r w:rsidRPr="00F75F68">
        <w:t>Облагородяване на жилищните квартали.</w:t>
      </w:r>
    </w:p>
    <w:p w:rsidR="00D868E6" w:rsidRPr="00F75F68" w:rsidRDefault="00D868E6" w:rsidP="00D868E6">
      <w:pPr>
        <w:numPr>
          <w:ilvl w:val="0"/>
          <w:numId w:val="4"/>
        </w:numPr>
        <w:jc w:val="both"/>
      </w:pPr>
      <w:r w:rsidRPr="00F75F68">
        <w:t>Залесяване на пустеещи територии с подходяща растителност.</w:t>
      </w:r>
    </w:p>
    <w:p w:rsidR="00D868E6" w:rsidRPr="00F75F68" w:rsidRDefault="00D868E6" w:rsidP="00D868E6">
      <w:pPr>
        <w:numPr>
          <w:ilvl w:val="0"/>
          <w:numId w:val="4"/>
        </w:numPr>
        <w:jc w:val="both"/>
      </w:pPr>
      <w:r w:rsidRPr="00F75F68">
        <w:t>Подсигуряване на достатъчен брой метални контейнери за изхвърляне на сгурията, получена от битовото отопление и редовно извозване до специално изградени площадки.</w:t>
      </w:r>
    </w:p>
    <w:p w:rsidR="00D868E6" w:rsidRPr="00F75F68" w:rsidRDefault="00D868E6" w:rsidP="00D868E6">
      <w:pPr>
        <w:numPr>
          <w:ilvl w:val="0"/>
          <w:numId w:val="4"/>
        </w:numPr>
        <w:jc w:val="both"/>
      </w:pPr>
      <w:r w:rsidRPr="00F75F68">
        <w:t>Подобряване на пътната мрежа в област Видин.</w:t>
      </w:r>
    </w:p>
    <w:p w:rsidR="00D868E6" w:rsidRPr="00F75F68" w:rsidRDefault="00D868E6" w:rsidP="00D868E6">
      <w:pPr>
        <w:numPr>
          <w:ilvl w:val="0"/>
          <w:numId w:val="4"/>
        </w:numPr>
        <w:jc w:val="both"/>
      </w:pPr>
      <w:r w:rsidRPr="00F75F68">
        <w:t>Системно почистване и миене на улиците.</w:t>
      </w:r>
    </w:p>
    <w:p w:rsidR="00D868E6" w:rsidRPr="00F75F68" w:rsidRDefault="00D868E6" w:rsidP="00D868E6">
      <w:pPr>
        <w:numPr>
          <w:ilvl w:val="0"/>
          <w:numId w:val="4"/>
        </w:numPr>
        <w:jc w:val="both"/>
      </w:pPr>
      <w:r w:rsidRPr="00F75F68">
        <w:t>Следене за изправността на автомобилите и най-вече за наличието и действието на катализаторите.</w:t>
      </w:r>
    </w:p>
    <w:p w:rsidR="00D868E6" w:rsidRPr="00F75F68" w:rsidRDefault="00D868E6" w:rsidP="00D868E6">
      <w:pPr>
        <w:numPr>
          <w:ilvl w:val="0"/>
          <w:numId w:val="4"/>
        </w:numPr>
        <w:jc w:val="both"/>
      </w:pPr>
      <w:r w:rsidRPr="00F75F68">
        <w:t>Покриване и по възможност намокряне на насипните материали и земни маси.</w:t>
      </w:r>
    </w:p>
    <w:p w:rsidR="00D868E6" w:rsidRPr="00F75F68" w:rsidRDefault="00D868E6" w:rsidP="00D868E6">
      <w:pPr>
        <w:numPr>
          <w:ilvl w:val="0"/>
          <w:numId w:val="4"/>
        </w:numPr>
        <w:jc w:val="both"/>
      </w:pPr>
      <w:r w:rsidRPr="00F75F68">
        <w:t>Ограничаване на замърсяването с ФПЧ</w:t>
      </w:r>
      <w:r w:rsidRPr="00F75F68">
        <w:rPr>
          <w:vertAlign w:val="subscript"/>
        </w:rPr>
        <w:t xml:space="preserve">10 </w:t>
      </w:r>
      <w:r w:rsidRPr="00F75F68">
        <w:t>чрез покриване на насипните материали и земни маси при автомобилния им транспорт.</w:t>
      </w:r>
      <w:r w:rsidRPr="00F75F68">
        <w:rPr>
          <w:vertAlign w:val="subscript"/>
        </w:rPr>
        <w:t xml:space="preserve"> </w:t>
      </w:r>
    </w:p>
    <w:p w:rsidR="00D868E6" w:rsidRPr="00F75F68" w:rsidRDefault="00D868E6" w:rsidP="00D868E6">
      <w:pPr>
        <w:numPr>
          <w:ilvl w:val="0"/>
          <w:numId w:val="4"/>
        </w:numPr>
        <w:jc w:val="both"/>
        <w:rPr>
          <w:lang w:val="ru-RU"/>
        </w:rPr>
      </w:pPr>
      <w:r w:rsidRPr="00F75F68">
        <w:t>Газификация на гр. Видин, с цел намаляване използването на</w:t>
      </w:r>
      <w:r w:rsidRPr="00F75F68">
        <w:rPr>
          <w:snapToGrid w:val="0"/>
        </w:rPr>
        <w:t xml:space="preserve"> твърди и течни горива</w:t>
      </w:r>
      <w:r w:rsidRPr="00F75F68">
        <w:t xml:space="preserve"> от домакинствата.</w:t>
      </w:r>
    </w:p>
    <w:p w:rsidR="00D868E6" w:rsidRPr="00AF207B" w:rsidRDefault="00D868E6" w:rsidP="00D868E6">
      <w:pPr>
        <w:jc w:val="both"/>
        <w:rPr>
          <w:b/>
          <w:u w:val="single"/>
        </w:rPr>
      </w:pPr>
      <w:r w:rsidRPr="00F75F68">
        <w:rPr>
          <w:b/>
          <w:u w:val="single"/>
          <w:lang w:val="ru-RU"/>
        </w:rPr>
        <w:t xml:space="preserve">5. </w:t>
      </w:r>
      <w:r w:rsidRPr="00F75F68">
        <w:rPr>
          <w:b/>
          <w:i/>
          <w:u w:val="single"/>
        </w:rPr>
        <w:t xml:space="preserve">Информация от общините </w:t>
      </w:r>
      <w:r w:rsidRPr="00AF207B">
        <w:rPr>
          <w:b/>
          <w:i/>
          <w:u w:val="single"/>
        </w:rPr>
        <w:t>за предприетите мерки за подобряване качеството на атмосферния въздух</w:t>
      </w:r>
    </w:p>
    <w:p w:rsidR="00D868E6" w:rsidRPr="008F3750" w:rsidRDefault="00D868E6" w:rsidP="00D868E6">
      <w:pPr>
        <w:ind w:firstLine="708"/>
        <w:jc w:val="both"/>
      </w:pPr>
      <w:r w:rsidRPr="008F3750">
        <w:t>Изв</w:t>
      </w:r>
      <w:r w:rsidR="008B75DB" w:rsidRPr="008F3750">
        <w:t>одите отразени в Докладите за п</w:t>
      </w:r>
      <w:r w:rsidRPr="008F3750">
        <w:t>ревишенията на нормите ФПЧ10 през сезоните за 2021 и 2022г. на РИОСВ – Монтана,</w:t>
      </w:r>
      <w:r w:rsidR="008B75DB" w:rsidRPr="008F3750">
        <w:t xml:space="preserve"> </w:t>
      </w:r>
      <w:r w:rsidRPr="008F3750">
        <w:t xml:space="preserve">базирани на данните от Националната система за екологичен мониторинг, е че се наблюдава положителна тенденция към устойчиво намаление на стойностите на </w:t>
      </w:r>
      <w:proofErr w:type="spellStart"/>
      <w:r w:rsidRPr="008F3750">
        <w:t>средноденонощните</w:t>
      </w:r>
      <w:proofErr w:type="spellEnd"/>
      <w:r w:rsidRPr="008F3750">
        <w:t xml:space="preserve"> концентрации на замърсителя през последните няколко години.</w:t>
      </w:r>
      <w:r w:rsidR="008B75DB" w:rsidRPr="008F3750">
        <w:t xml:space="preserve"> </w:t>
      </w:r>
      <w:r w:rsidRPr="008F3750">
        <w:t xml:space="preserve">Продължават да се прилагат разписаните мерки от плана за действие към Програмата и към момента не е необходимо включване на допълващи такива. </w:t>
      </w:r>
    </w:p>
    <w:p w:rsidR="00D868E6" w:rsidRPr="008F3750" w:rsidRDefault="00D868E6" w:rsidP="00D868E6">
      <w:pPr>
        <w:ind w:firstLine="708"/>
        <w:jc w:val="both"/>
      </w:pPr>
      <w:r w:rsidRPr="008F3750">
        <w:t>Машинно изметени са 16 145  дка и измити 2 300 дка улични площи в гр. Видин.</w:t>
      </w:r>
    </w:p>
    <w:p w:rsidR="00D868E6" w:rsidRPr="008F3750" w:rsidRDefault="00D868E6" w:rsidP="00D868E6">
      <w:pPr>
        <w:ind w:firstLine="708"/>
        <w:jc w:val="both"/>
      </w:pPr>
      <w:r w:rsidRPr="008F3750">
        <w:t xml:space="preserve">През м. март е извършено основно почистване на главните улици в града от натрупани отлагания по </w:t>
      </w:r>
      <w:proofErr w:type="spellStart"/>
      <w:r w:rsidRPr="008F3750">
        <w:t>регула</w:t>
      </w:r>
      <w:proofErr w:type="spellEnd"/>
      <w:r w:rsidRPr="008F3750">
        <w:t xml:space="preserve"> на уличното платно с последващо основно измиване.</w:t>
      </w:r>
    </w:p>
    <w:p w:rsidR="00D868E6" w:rsidRPr="008F3750" w:rsidRDefault="00D868E6" w:rsidP="00D868E6">
      <w:pPr>
        <w:ind w:firstLine="708"/>
        <w:jc w:val="both"/>
      </w:pPr>
      <w:r w:rsidRPr="008F3750">
        <w:t>През годината са издадени 6 бр. наказателни постановления по Наредбата за управление на отпадъците на територията на община Видин. Извършени са 64 бр. проверки за замърсява</w:t>
      </w:r>
      <w:r w:rsidR="008B75DB" w:rsidRPr="008F3750">
        <w:t>не на обществени места. Издадени</w:t>
      </w:r>
      <w:r w:rsidRPr="008F3750">
        <w:t xml:space="preserve"> </w:t>
      </w:r>
      <w:r w:rsidR="008B75DB" w:rsidRPr="008F3750">
        <w:t xml:space="preserve">са </w:t>
      </w:r>
      <w:r w:rsidRPr="008F3750">
        <w:t xml:space="preserve"> 3 предписани</w:t>
      </w:r>
      <w:r w:rsidR="008B75DB" w:rsidRPr="008F3750">
        <w:t>я</w:t>
      </w:r>
      <w:r w:rsidRPr="008F3750">
        <w:t>. Взето е отношение по 3 сигнала за замърсяване на атмосферния въздух.</w:t>
      </w:r>
    </w:p>
    <w:p w:rsidR="00D868E6" w:rsidRPr="008F3750" w:rsidRDefault="00D868E6" w:rsidP="00D868E6">
      <w:pPr>
        <w:ind w:firstLine="708"/>
        <w:jc w:val="both"/>
      </w:pPr>
      <w:r w:rsidRPr="008F3750">
        <w:t xml:space="preserve">Община Видин е закупила за ОП „Чистота, озеленяване и благоустройство “ един брой </w:t>
      </w:r>
      <w:proofErr w:type="spellStart"/>
      <w:r w:rsidRPr="008F3750">
        <w:t>сметоизвозваща</w:t>
      </w:r>
      <w:proofErr w:type="spellEnd"/>
      <w:r w:rsidRPr="008F3750">
        <w:t xml:space="preserve"> машина, два контейнеровоза за строителни отпадъци, инвентар за </w:t>
      </w:r>
      <w:proofErr w:type="spellStart"/>
      <w:r w:rsidRPr="008F3750">
        <w:t>водоноска</w:t>
      </w:r>
      <w:proofErr w:type="spellEnd"/>
      <w:r w:rsidRPr="008F3750">
        <w:t>, 844 бр.</w:t>
      </w:r>
      <w:r w:rsidR="008B75DB" w:rsidRPr="008F3750">
        <w:t xml:space="preserve"> </w:t>
      </w:r>
      <w:r w:rsidRPr="008F3750">
        <w:t>контейнери от 1,1 м</w:t>
      </w:r>
      <w:r w:rsidRPr="008F3750">
        <w:rPr>
          <w:vertAlign w:val="superscript"/>
        </w:rPr>
        <w:t xml:space="preserve">3 </w:t>
      </w:r>
      <w:r w:rsidRPr="008F3750">
        <w:t xml:space="preserve">и 120 бр. контейнери за едрогабаритни отпадъци, с цел подобряване услугите по сметосъбиране и </w:t>
      </w:r>
      <w:proofErr w:type="spellStart"/>
      <w:r w:rsidRPr="008F3750">
        <w:t>сметоизвозване</w:t>
      </w:r>
      <w:proofErr w:type="spellEnd"/>
      <w:r w:rsidRPr="008F3750">
        <w:t>.</w:t>
      </w:r>
    </w:p>
    <w:p w:rsidR="00D868E6" w:rsidRPr="008F3750" w:rsidRDefault="00D868E6" w:rsidP="00D868E6">
      <w:pPr>
        <w:ind w:firstLine="708"/>
        <w:jc w:val="both"/>
      </w:pPr>
      <w:r w:rsidRPr="008F3750">
        <w:t>Почистени са 49 580 дка площи за обществено ползване.</w:t>
      </w:r>
    </w:p>
    <w:p w:rsidR="00D868E6" w:rsidRPr="008F3750" w:rsidRDefault="00D868E6" w:rsidP="00D868E6">
      <w:pPr>
        <w:ind w:firstLine="708"/>
        <w:jc w:val="both"/>
      </w:pPr>
      <w:r w:rsidRPr="008F3750">
        <w:t xml:space="preserve">Извършена е рехабилитация на 850 </w:t>
      </w:r>
      <w:proofErr w:type="spellStart"/>
      <w:r w:rsidRPr="008F3750">
        <w:t>кв.м</w:t>
      </w:r>
      <w:proofErr w:type="spellEnd"/>
      <w:r w:rsidRPr="008F3750">
        <w:t xml:space="preserve">. улична настилка в междублокови пространства и изкърпване на 2 200 </w:t>
      </w:r>
      <w:proofErr w:type="spellStart"/>
      <w:r w:rsidRPr="008F3750">
        <w:t>кв.м</w:t>
      </w:r>
      <w:proofErr w:type="spellEnd"/>
      <w:r w:rsidRPr="008F3750">
        <w:t xml:space="preserve"> на улична настилка в </w:t>
      </w:r>
      <w:proofErr w:type="spellStart"/>
      <w:r w:rsidRPr="008F3750">
        <w:t>гр.Видин</w:t>
      </w:r>
      <w:proofErr w:type="spellEnd"/>
      <w:r w:rsidRPr="008F3750">
        <w:t>.</w:t>
      </w:r>
      <w:r w:rsidR="00BB2813">
        <w:t xml:space="preserve"> </w:t>
      </w:r>
      <w:r w:rsidRPr="008F3750">
        <w:t xml:space="preserve">На площ от 9150 </w:t>
      </w:r>
      <w:proofErr w:type="spellStart"/>
      <w:r w:rsidRPr="008F3750">
        <w:t>кв.м</w:t>
      </w:r>
      <w:proofErr w:type="spellEnd"/>
      <w:r w:rsidRPr="008F3750">
        <w:t xml:space="preserve">. е извършен ремонт на настилките по парковите алеи в </w:t>
      </w:r>
      <w:proofErr w:type="spellStart"/>
      <w:r w:rsidRPr="008F3750">
        <w:t>гр.Видин</w:t>
      </w:r>
      <w:proofErr w:type="spellEnd"/>
    </w:p>
    <w:p w:rsidR="00D868E6" w:rsidRPr="008F3750" w:rsidRDefault="00D868E6" w:rsidP="00D868E6">
      <w:pPr>
        <w:ind w:firstLine="708"/>
        <w:jc w:val="both"/>
      </w:pPr>
      <w:r w:rsidRPr="008F3750">
        <w:lastRenderedPageBreak/>
        <w:t xml:space="preserve">Издадени и изпълнени са 17 бр. предписания за възстановяване на настилки след ремонт на подземната инфраструктура. </w:t>
      </w:r>
    </w:p>
    <w:p w:rsidR="00D868E6" w:rsidRPr="008F3750" w:rsidRDefault="00D868E6" w:rsidP="00D868E6">
      <w:pPr>
        <w:ind w:firstLine="708"/>
        <w:jc w:val="both"/>
      </w:pPr>
      <w:r w:rsidRPr="008F3750">
        <w:t>За облагородяване на общински озеленени площи в г</w:t>
      </w:r>
      <w:r w:rsidR="008B75DB" w:rsidRPr="008F3750">
        <w:t xml:space="preserve">рад Видин са засадени 45 </w:t>
      </w:r>
      <w:proofErr w:type="spellStart"/>
      <w:r w:rsidR="008B75DB" w:rsidRPr="008F3750">
        <w:t>бр</w:t>
      </w:r>
      <w:r w:rsidRPr="008F3750">
        <w:t>.дървета</w:t>
      </w:r>
      <w:proofErr w:type="spellEnd"/>
      <w:r w:rsidRPr="008F3750">
        <w:t>.</w:t>
      </w:r>
    </w:p>
    <w:p w:rsidR="00D868E6" w:rsidRPr="008F3750" w:rsidRDefault="00D868E6" w:rsidP="008B75DB">
      <w:pPr>
        <w:ind w:firstLine="708"/>
        <w:jc w:val="both"/>
      </w:pPr>
      <w:r w:rsidRPr="008F3750">
        <w:t xml:space="preserve">На 29.04.2022г. стартира проект „Изпълнение на енергоспестяващи мерки за достигане на сграда с близко до нулевото потребление в </w:t>
      </w:r>
      <w:proofErr w:type="spellStart"/>
      <w:r w:rsidRPr="008F3750">
        <w:t>СУ„Св</w:t>
      </w:r>
      <w:proofErr w:type="spellEnd"/>
      <w:r w:rsidRPr="008F3750">
        <w:t xml:space="preserve">. Св. Кирил и Методий“,- </w:t>
      </w:r>
      <w:proofErr w:type="spellStart"/>
      <w:r w:rsidRPr="008F3750">
        <w:t>гр.Видин„“Проектът</w:t>
      </w:r>
      <w:proofErr w:type="spellEnd"/>
      <w:r w:rsidRPr="008F3750">
        <w:t xml:space="preserve"> се финансира от финансов механизъм на европейското икон</w:t>
      </w:r>
      <w:r w:rsidR="008B75DB" w:rsidRPr="008F3750">
        <w:t xml:space="preserve">омическо </w:t>
      </w:r>
      <w:proofErr w:type="spellStart"/>
      <w:r w:rsidR="008B75DB" w:rsidRPr="008F3750">
        <w:t>простронство</w:t>
      </w:r>
      <w:proofErr w:type="spellEnd"/>
      <w:r w:rsidR="008B75DB" w:rsidRPr="008F3750">
        <w:t xml:space="preserve"> 2014-2021</w:t>
      </w:r>
      <w:r w:rsidRPr="008F3750">
        <w:t>г.</w:t>
      </w:r>
      <w:r w:rsidR="008B75DB" w:rsidRPr="008F3750">
        <w:t xml:space="preserve"> </w:t>
      </w:r>
      <w:r w:rsidRPr="008F3750">
        <w:t>по Програма „</w:t>
      </w:r>
      <w:r w:rsidR="008B75DB" w:rsidRPr="008F3750">
        <w:t xml:space="preserve">Възобновяема енергия, енергийна </w:t>
      </w:r>
      <w:r w:rsidRPr="008F3750">
        <w:t>ефективност</w:t>
      </w:r>
      <w:r w:rsidR="008B75DB" w:rsidRPr="008F3750">
        <w:t>, енергийна сигурност</w:t>
      </w:r>
      <w:r w:rsidRPr="008F3750">
        <w:t>“.</w:t>
      </w:r>
      <w:r w:rsidR="008B75DB" w:rsidRPr="008F3750">
        <w:t xml:space="preserve"> </w:t>
      </w:r>
      <w:r w:rsidRPr="008F3750">
        <w:t>Проектното предложение е насочено към цялостна енергийна трансформация на училище „Св. Св. Кирил и Методий“</w:t>
      </w:r>
      <w:r w:rsidR="008B75DB" w:rsidRPr="008F3750">
        <w:t xml:space="preserve"> </w:t>
      </w:r>
      <w:r w:rsidRPr="008F3750">
        <w:t>от конвенционална към високо ефективна сграда, в която значителна част от енергията се доставя от ВИ.</w:t>
      </w:r>
      <w:r w:rsidR="008B75DB" w:rsidRPr="008F3750">
        <w:t xml:space="preserve"> </w:t>
      </w:r>
      <w:r w:rsidRPr="008F3750">
        <w:t xml:space="preserve">Предвижда се подмяната на съществуващия </w:t>
      </w:r>
      <w:proofErr w:type="spellStart"/>
      <w:r w:rsidRPr="008F3750">
        <w:t>водогреен</w:t>
      </w:r>
      <w:proofErr w:type="spellEnd"/>
      <w:r w:rsidRPr="008F3750">
        <w:t xml:space="preserve"> котел оползотворяващ промишлен газьол с високоефективна геотермална инсталация.</w:t>
      </w:r>
    </w:p>
    <w:p w:rsidR="00D868E6" w:rsidRPr="008F3750" w:rsidRDefault="00D868E6" w:rsidP="00D868E6">
      <w:pPr>
        <w:ind w:firstLine="708"/>
        <w:jc w:val="both"/>
      </w:pPr>
      <w:r w:rsidRPr="008F3750">
        <w:t>Одобрени са 36  проекта с екологично отопление.</w:t>
      </w:r>
    </w:p>
    <w:p w:rsidR="00D868E6" w:rsidRPr="008F3750" w:rsidRDefault="00D868E6" w:rsidP="00D868E6">
      <w:pPr>
        <w:ind w:firstLine="708"/>
        <w:jc w:val="both"/>
      </w:pPr>
      <w:r w:rsidRPr="008F3750">
        <w:t xml:space="preserve">През годината е подменена горивната база </w:t>
      </w:r>
      <w:r w:rsidR="008B75DB" w:rsidRPr="008F3750">
        <w:t xml:space="preserve">за отопление </w:t>
      </w:r>
      <w:r w:rsidRPr="008F3750">
        <w:t xml:space="preserve">на 315 домакинства, с екологично такова – </w:t>
      </w:r>
      <w:proofErr w:type="spellStart"/>
      <w:r w:rsidRPr="008F3750">
        <w:t>пелетни</w:t>
      </w:r>
      <w:proofErr w:type="spellEnd"/>
      <w:r w:rsidRPr="008F3750">
        <w:t xml:space="preserve"> камини, климатици, </w:t>
      </w:r>
      <w:proofErr w:type="spellStart"/>
      <w:r w:rsidRPr="008F3750">
        <w:t>пелетни</w:t>
      </w:r>
      <w:proofErr w:type="spellEnd"/>
      <w:r w:rsidRPr="008F3750">
        <w:t xml:space="preserve"> котли.</w:t>
      </w:r>
      <w:r w:rsidR="008B75DB" w:rsidRPr="008F3750">
        <w:t xml:space="preserve"> </w:t>
      </w:r>
      <w:r w:rsidRPr="008F3750">
        <w:t xml:space="preserve">Подмяната се извършва по проект „Подобряване качеството на атмосферния въздух“ по ОП „Околна среда 2014-2020 г.“, по който Община Видин е бенефициент. </w:t>
      </w:r>
    </w:p>
    <w:p w:rsidR="00D868E6" w:rsidRPr="008F3750" w:rsidRDefault="00D868E6" w:rsidP="00D868E6">
      <w:pPr>
        <w:ind w:firstLine="708"/>
        <w:jc w:val="both"/>
      </w:pPr>
      <w:r w:rsidRPr="008F3750">
        <w:t>На 22.09.2022г. със Заповед № РД-02-11-1076/15.09.2022 г. на кмета на Община Видин</w:t>
      </w:r>
      <w:r w:rsidR="008F3750" w:rsidRPr="008F3750">
        <w:t xml:space="preserve"> </w:t>
      </w:r>
      <w:r w:rsidRPr="008F3750">
        <w:t>е създадена временна организация на движението в Централна градска част, с цел затваряне на улични участъци за движение на автомобили.</w:t>
      </w:r>
    </w:p>
    <w:p w:rsidR="00D868E6" w:rsidRPr="008F3750" w:rsidRDefault="00D868E6" w:rsidP="00D868E6">
      <w:pPr>
        <w:ind w:firstLine="708"/>
        <w:jc w:val="both"/>
      </w:pPr>
      <w:r w:rsidRPr="008F3750">
        <w:t xml:space="preserve">С Решение №93 на </w:t>
      </w:r>
      <w:proofErr w:type="spellStart"/>
      <w:r w:rsidRPr="008F3750">
        <w:t>О</w:t>
      </w:r>
      <w:r w:rsidR="008F3750" w:rsidRPr="008F3750">
        <w:t>б</w:t>
      </w:r>
      <w:r w:rsidRPr="008F3750">
        <w:t>С</w:t>
      </w:r>
      <w:proofErr w:type="spellEnd"/>
      <w:r w:rsidRPr="008F3750">
        <w:t xml:space="preserve"> – Видин взето с протокол №6/27.06.2022г. е приета Наредба за изменение и допълнение на Наредба №1 за опазване и поддържане на обществения ред  в община Видин, с която се забранява ползването на дървесина за битово отопление на територията на </w:t>
      </w:r>
      <w:proofErr w:type="spellStart"/>
      <w:r w:rsidRPr="008F3750">
        <w:t>гр.Видин</w:t>
      </w:r>
      <w:proofErr w:type="spellEnd"/>
      <w:r w:rsidRPr="008F3750">
        <w:t>, с абсолютна влажност над 30% и такава обработвана с химикали и други вещества, след изгарянето на които се замърсява атмосферния въздух. С изменението се дава възможност за налагане на санкции на нарушителите причиняващи замърсяване на атмосферния въздух.</w:t>
      </w:r>
    </w:p>
    <w:p w:rsidR="00D868E6" w:rsidRPr="008F3750" w:rsidRDefault="00D868E6" w:rsidP="00D868E6">
      <w:pPr>
        <w:ind w:firstLine="708"/>
        <w:jc w:val="both"/>
      </w:pPr>
      <w:r w:rsidRPr="008F3750">
        <w:t>Община Видин е бенефициент по проект</w:t>
      </w:r>
      <w:r w:rsidR="008F3750" w:rsidRPr="008F3750">
        <w:t xml:space="preserve"> </w:t>
      </w:r>
      <w:r w:rsidRPr="008F3750">
        <w:t>“Подобряване на енергийна ефективност в общински административни сгради“,</w:t>
      </w:r>
      <w:r w:rsidR="008F3750" w:rsidRPr="008F3750">
        <w:t xml:space="preserve"> </w:t>
      </w:r>
      <w:r w:rsidRPr="008F3750">
        <w:t xml:space="preserve">изпълняван по Приоритетна ос 1 – „Устойчиво и интегрирано градско </w:t>
      </w:r>
      <w:proofErr w:type="spellStart"/>
      <w:r w:rsidRPr="008F3750">
        <w:t>развитие“на</w:t>
      </w:r>
      <w:proofErr w:type="spellEnd"/>
      <w:r w:rsidRPr="008F3750">
        <w:t xml:space="preserve"> Оперативна програма „Региони в растеж“ 2014-2020.С проектът се цели обновяване на административната сграда на община Видин и подобряване качеството на живот чрез изпълнение на мерки за енергийна ефективност.</w:t>
      </w:r>
      <w:r w:rsidR="008F3750" w:rsidRPr="008F3750">
        <w:t xml:space="preserve"> </w:t>
      </w:r>
      <w:r w:rsidRPr="008F3750">
        <w:t>Изпълнението на проекта ще допринесе за постигане на националната цел по отноше</w:t>
      </w:r>
      <w:r w:rsidR="008F3750" w:rsidRPr="008F3750">
        <w:t>ние на повишаване на енергийна</w:t>
      </w:r>
      <w:r w:rsidRPr="008F3750">
        <w:t xml:space="preserve"> ефективност</w:t>
      </w:r>
      <w:r w:rsidR="008F3750" w:rsidRPr="008F3750">
        <w:t xml:space="preserve"> </w:t>
      </w:r>
      <w:r w:rsidRPr="008F3750">
        <w:t xml:space="preserve">- достигане на 25% по висока енергийна ефективност и косвено – за намаляване на емисиите на парникови газове в  атмосферата, както и за постигане на националните индикативни показатели за спестена енергия </w:t>
      </w:r>
      <w:r w:rsidR="008F3750" w:rsidRPr="008F3750">
        <w:t xml:space="preserve">свързани с икономия на енергия </w:t>
      </w:r>
      <w:r w:rsidRPr="008F3750">
        <w:t>при крайното и първичното енергийно потребление.</w:t>
      </w:r>
    </w:p>
    <w:p w:rsidR="00D868E6" w:rsidRPr="008F3750" w:rsidRDefault="00D868E6" w:rsidP="00D868E6">
      <w:pPr>
        <w:ind w:firstLine="708"/>
        <w:jc w:val="both"/>
      </w:pPr>
      <w:r w:rsidRPr="008F3750">
        <w:t xml:space="preserve">По проект </w:t>
      </w:r>
      <w:r w:rsidRPr="008F3750">
        <w:rPr>
          <w:lang w:val="en-US"/>
        </w:rPr>
        <w:t xml:space="preserve">MAKING-SITY </w:t>
      </w:r>
      <w:r w:rsidRPr="008F3750">
        <w:t>по програма Хоризонт 2020 на ЕК, в който гр. Видин е град</w:t>
      </w:r>
      <w:r w:rsidR="008F3750" w:rsidRPr="008F3750">
        <w:t xml:space="preserve"> </w:t>
      </w:r>
      <w:r w:rsidRPr="008F3750">
        <w:t>-</w:t>
      </w:r>
      <w:r w:rsidR="008F3750" w:rsidRPr="008F3750">
        <w:t xml:space="preserve"> </w:t>
      </w:r>
      <w:r w:rsidRPr="008F3750">
        <w:t xml:space="preserve">последовател в рамките на проекта и си сътрудничи с други европейски градове при реализиране на иновативни мерки – Леон (Испания), </w:t>
      </w:r>
      <w:proofErr w:type="spellStart"/>
      <w:r w:rsidRPr="008F3750">
        <w:t>Басано</w:t>
      </w:r>
      <w:proofErr w:type="spellEnd"/>
      <w:r w:rsidRPr="008F3750">
        <w:t xml:space="preserve"> дел Грапа (Италия), </w:t>
      </w:r>
      <w:proofErr w:type="spellStart"/>
      <w:r w:rsidRPr="008F3750">
        <w:t>Кадикьой</w:t>
      </w:r>
      <w:proofErr w:type="spellEnd"/>
      <w:r w:rsidRPr="008F3750">
        <w:t xml:space="preserve"> (Турция), </w:t>
      </w:r>
      <w:proofErr w:type="spellStart"/>
      <w:r w:rsidRPr="008F3750">
        <w:t>Попрад</w:t>
      </w:r>
      <w:proofErr w:type="spellEnd"/>
      <w:r w:rsidRPr="008F3750">
        <w:t xml:space="preserve"> (Словакия) и Любл</w:t>
      </w:r>
      <w:r w:rsidR="008F3750" w:rsidRPr="008F3750">
        <w:t>ин</w:t>
      </w:r>
      <w:r w:rsidRPr="008F3750">
        <w:t xml:space="preserve"> (Полша), е извършено:</w:t>
      </w:r>
    </w:p>
    <w:p w:rsidR="00D868E6" w:rsidRPr="008F3750" w:rsidRDefault="00D868E6" w:rsidP="00D868E6">
      <w:pPr>
        <w:numPr>
          <w:ilvl w:val="0"/>
          <w:numId w:val="5"/>
        </w:numPr>
        <w:jc w:val="both"/>
      </w:pPr>
      <w:r w:rsidRPr="008F3750">
        <w:t>Определени са енергийни сценарии,</w:t>
      </w:r>
      <w:r w:rsidR="008F3750" w:rsidRPr="008F3750">
        <w:t xml:space="preserve"> </w:t>
      </w:r>
      <w:r w:rsidRPr="008F3750">
        <w:t>включващи енергийни източници и консуматори на градско ниво.</w:t>
      </w:r>
      <w:r w:rsidR="008F3750" w:rsidRPr="008F3750">
        <w:t xml:space="preserve"> </w:t>
      </w:r>
      <w:r w:rsidRPr="008F3750">
        <w:t xml:space="preserve">Идентифицирани са технологиите за </w:t>
      </w:r>
      <w:proofErr w:type="spellStart"/>
      <w:r w:rsidRPr="008F3750">
        <w:t>енергопозитивни</w:t>
      </w:r>
      <w:proofErr w:type="spellEnd"/>
      <w:r w:rsidRPr="008F3750">
        <w:t xml:space="preserve"> зони и свързаните с тях оперативни модели</w:t>
      </w:r>
      <w:r w:rsidRPr="008F3750">
        <w:rPr>
          <w:lang w:val="en-US"/>
        </w:rPr>
        <w:t>(</w:t>
      </w:r>
      <w:r w:rsidRPr="008F3750">
        <w:t>които включват участници,</w:t>
      </w:r>
      <w:r w:rsidR="008F3750" w:rsidRPr="008F3750">
        <w:t xml:space="preserve"> </w:t>
      </w:r>
      <w:r w:rsidRPr="008F3750">
        <w:t>бизнес модела и т.н.</w:t>
      </w:r>
      <w:r w:rsidRPr="008F3750">
        <w:rPr>
          <w:lang w:val="en-US"/>
        </w:rPr>
        <w:t>);</w:t>
      </w:r>
    </w:p>
    <w:p w:rsidR="00D868E6" w:rsidRPr="008F3750" w:rsidRDefault="00D868E6" w:rsidP="00D868E6">
      <w:pPr>
        <w:numPr>
          <w:ilvl w:val="0"/>
          <w:numId w:val="5"/>
        </w:numPr>
        <w:jc w:val="both"/>
      </w:pPr>
      <w:r w:rsidRPr="008F3750">
        <w:lastRenderedPageBreak/>
        <w:t>Характеризирани са бизнес моделите,</w:t>
      </w:r>
      <w:r w:rsidR="008F3750" w:rsidRPr="008F3750">
        <w:t xml:space="preserve"> </w:t>
      </w:r>
      <w:r w:rsidRPr="008F3750">
        <w:t>свързани с всяка от технологиите и тяхната комбинация.</w:t>
      </w:r>
      <w:r w:rsidR="008F3750" w:rsidRPr="008F3750">
        <w:t xml:space="preserve"> </w:t>
      </w:r>
      <w:r w:rsidRPr="008F3750">
        <w:t>Атрактивен бизнес, свързан с всяка от тези технологии, ще бъде катал</w:t>
      </w:r>
      <w:r w:rsidR="008F3750" w:rsidRPr="008F3750">
        <w:t>ог</w:t>
      </w:r>
      <w:r w:rsidRPr="008F3750">
        <w:t xml:space="preserve">изиран и финансово анализиран, за да се гарантира, че те могат да бъдат внедрени в избраните две </w:t>
      </w:r>
      <w:proofErr w:type="spellStart"/>
      <w:r w:rsidRPr="008F3750">
        <w:t>енергопозитивни</w:t>
      </w:r>
      <w:proofErr w:type="spellEnd"/>
      <w:r w:rsidRPr="008F3750">
        <w:t xml:space="preserve"> зони в град Видин</w:t>
      </w:r>
    </w:p>
    <w:p w:rsidR="00D868E6" w:rsidRPr="008F3750" w:rsidRDefault="00D868E6" w:rsidP="00D868E6">
      <w:pPr>
        <w:numPr>
          <w:ilvl w:val="0"/>
          <w:numId w:val="5"/>
        </w:numPr>
        <w:jc w:val="both"/>
      </w:pPr>
      <w:r w:rsidRPr="008F3750">
        <w:t>Определена е базова енергийна линия за 202</w:t>
      </w:r>
      <w:r w:rsidR="008F3750" w:rsidRPr="008F3750">
        <w:t xml:space="preserve">2 </w:t>
      </w:r>
      <w:r w:rsidRPr="008F3750">
        <w:t>година като е анализирана енергийната консумация по сектори и горива</w:t>
      </w:r>
      <w:r w:rsidRPr="008F3750">
        <w:rPr>
          <w:lang w:val="en-US"/>
        </w:rPr>
        <w:t>;</w:t>
      </w:r>
    </w:p>
    <w:p w:rsidR="00D868E6" w:rsidRPr="008F3750" w:rsidRDefault="00D868E6" w:rsidP="00D868E6">
      <w:pPr>
        <w:numPr>
          <w:ilvl w:val="0"/>
          <w:numId w:val="5"/>
        </w:numPr>
        <w:jc w:val="both"/>
      </w:pPr>
      <w:r w:rsidRPr="008F3750">
        <w:t>Извършено е енергийно моделиране на избраните сценарии, с оценка на енергийния и екологичен ефект до 2030</w:t>
      </w:r>
      <w:r w:rsidR="008F3750" w:rsidRPr="008F3750">
        <w:t xml:space="preserve"> </w:t>
      </w:r>
      <w:r w:rsidRPr="008F3750">
        <w:t>г. и 2050</w:t>
      </w:r>
      <w:r w:rsidR="008F3750" w:rsidRPr="008F3750">
        <w:t xml:space="preserve"> </w:t>
      </w:r>
      <w:r w:rsidRPr="008F3750">
        <w:t>г.</w:t>
      </w:r>
      <w:r w:rsidRPr="008F3750">
        <w:rPr>
          <w:lang w:val="en-US"/>
        </w:rPr>
        <w:t>;</w:t>
      </w:r>
    </w:p>
    <w:p w:rsidR="00D868E6" w:rsidRPr="008F3750" w:rsidRDefault="00D868E6" w:rsidP="00D868E6">
      <w:pPr>
        <w:numPr>
          <w:ilvl w:val="0"/>
          <w:numId w:val="5"/>
        </w:numPr>
        <w:jc w:val="both"/>
      </w:pPr>
      <w:r w:rsidRPr="008F3750">
        <w:t>Стартиран е процес по интегриране на дългосрочната енергийна стратегия за и разработването на План за действие за устойчива енергия и климат</w:t>
      </w:r>
      <w:r w:rsidR="008F3750" w:rsidRPr="008F3750">
        <w:t xml:space="preserve"> </w:t>
      </w:r>
      <w:r w:rsidRPr="008F3750">
        <w:rPr>
          <w:lang w:val="en-US"/>
        </w:rPr>
        <w:t>(SECAP)</w:t>
      </w:r>
      <w:r w:rsidRPr="008F3750">
        <w:t>,</w:t>
      </w:r>
      <w:r w:rsidR="008F3750" w:rsidRPr="008F3750">
        <w:t xml:space="preserve"> </w:t>
      </w:r>
      <w:r w:rsidRPr="008F3750">
        <w:t>който включва базова инвентаризация на емисиите на парникови газове, идентифициране на мерки за смекчаване и адаптация към климатичните промени и оценка на уязвимостта и риска от климатичните промени</w:t>
      </w:r>
      <w:r w:rsidRPr="008F3750">
        <w:rPr>
          <w:lang w:val="en-US"/>
        </w:rPr>
        <w:t>;</w:t>
      </w:r>
      <w:r w:rsidRPr="008F3750">
        <w:t xml:space="preserve"> </w:t>
      </w:r>
    </w:p>
    <w:p w:rsidR="00D868E6" w:rsidRPr="008F3750" w:rsidRDefault="00D868E6" w:rsidP="006B0D17">
      <w:pPr>
        <w:tabs>
          <w:tab w:val="left" w:pos="720"/>
        </w:tabs>
        <w:jc w:val="both"/>
        <w:rPr>
          <w:i/>
        </w:rPr>
      </w:pPr>
    </w:p>
    <w:p w:rsidR="00D868E6" w:rsidRPr="008F3750" w:rsidRDefault="00D868E6" w:rsidP="006B0D17">
      <w:pPr>
        <w:tabs>
          <w:tab w:val="left" w:pos="720"/>
        </w:tabs>
        <w:jc w:val="both"/>
        <w:rPr>
          <w:i/>
        </w:rPr>
      </w:pPr>
    </w:p>
    <w:p w:rsidR="00D868E6" w:rsidRPr="008F3750" w:rsidRDefault="00D868E6" w:rsidP="006B0D17">
      <w:pPr>
        <w:tabs>
          <w:tab w:val="left" w:pos="720"/>
        </w:tabs>
        <w:jc w:val="both"/>
        <w:rPr>
          <w:i/>
        </w:rPr>
      </w:pPr>
    </w:p>
    <w:p w:rsidR="00D868E6" w:rsidRPr="008F3750" w:rsidRDefault="00D868E6" w:rsidP="006B0D17">
      <w:pPr>
        <w:tabs>
          <w:tab w:val="left" w:pos="720"/>
        </w:tabs>
        <w:jc w:val="both"/>
        <w:rPr>
          <w:i/>
        </w:rPr>
      </w:pPr>
    </w:p>
    <w:sectPr w:rsidR="00D868E6" w:rsidRPr="008F3750" w:rsidSect="00F75F68">
      <w:footerReference w:type="default" r:id="rId23"/>
      <w:pgSz w:w="12240" w:h="15840"/>
      <w:pgMar w:top="1417" w:right="1417" w:bottom="1417" w:left="1417"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451" w:rsidRDefault="009D1451" w:rsidP="006B0D17">
      <w:r>
        <w:separator/>
      </w:r>
    </w:p>
  </w:endnote>
  <w:endnote w:type="continuationSeparator" w:id="0">
    <w:p w:rsidR="009D1451" w:rsidRDefault="009D1451" w:rsidP="006B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4p">
    <w:altName w:val="Arial"/>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669451"/>
      <w:docPartObj>
        <w:docPartGallery w:val="Page Numbers (Bottom of Page)"/>
        <w:docPartUnique/>
      </w:docPartObj>
    </w:sdtPr>
    <w:sdtEndPr>
      <w:rPr>
        <w:noProof/>
      </w:rPr>
    </w:sdtEndPr>
    <w:sdtContent>
      <w:p w:rsidR="00F75F68" w:rsidRDefault="00F75F68">
        <w:pPr>
          <w:pStyle w:val="a5"/>
          <w:jc w:val="right"/>
        </w:pPr>
        <w:r>
          <w:fldChar w:fldCharType="begin"/>
        </w:r>
        <w:r>
          <w:instrText xml:space="preserve"> PAGE   \* MERGEFORMAT </w:instrText>
        </w:r>
        <w:r>
          <w:fldChar w:fldCharType="separate"/>
        </w:r>
        <w:r w:rsidR="00A40929">
          <w:rPr>
            <w:noProof/>
          </w:rPr>
          <w:t>15</w:t>
        </w:r>
        <w:r>
          <w:rPr>
            <w:noProof/>
          </w:rPr>
          <w:fldChar w:fldCharType="end"/>
        </w:r>
      </w:p>
    </w:sdtContent>
  </w:sdt>
  <w:p w:rsidR="00F75F68" w:rsidRDefault="00F75F6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451" w:rsidRDefault="009D1451" w:rsidP="006B0D17">
      <w:r>
        <w:separator/>
      </w:r>
    </w:p>
  </w:footnote>
  <w:footnote w:type="continuationSeparator" w:id="0">
    <w:p w:rsidR="009D1451" w:rsidRDefault="009D1451" w:rsidP="006B0D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10017"/>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5AF15DB"/>
    <w:multiLevelType w:val="hybridMultilevel"/>
    <w:tmpl w:val="298081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72E5305"/>
    <w:multiLevelType w:val="hybridMultilevel"/>
    <w:tmpl w:val="900EF57A"/>
    <w:lvl w:ilvl="0" w:tplc="C85AA326">
      <w:numFmt w:val="bullet"/>
      <w:lvlText w:val="-"/>
      <w:lvlJc w:val="left"/>
      <w:pPr>
        <w:ind w:left="1068" w:hanging="360"/>
      </w:pPr>
      <w:rPr>
        <w:rFonts w:ascii="Times New Roman" w:eastAsia="Times New Roman" w:hAnsi="Times New Roman"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40DD2469"/>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7D0D2712"/>
    <w:multiLevelType w:val="singleLevel"/>
    <w:tmpl w:val="0C09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17"/>
    <w:rsid w:val="000A1293"/>
    <w:rsid w:val="000C4FE0"/>
    <w:rsid w:val="00102190"/>
    <w:rsid w:val="00136534"/>
    <w:rsid w:val="00150615"/>
    <w:rsid w:val="00186F17"/>
    <w:rsid w:val="001A67B3"/>
    <w:rsid w:val="001E79AD"/>
    <w:rsid w:val="002212AB"/>
    <w:rsid w:val="002B51F9"/>
    <w:rsid w:val="003E65F8"/>
    <w:rsid w:val="004109B3"/>
    <w:rsid w:val="004952FE"/>
    <w:rsid w:val="00497CEB"/>
    <w:rsid w:val="004F4104"/>
    <w:rsid w:val="00507690"/>
    <w:rsid w:val="005D7371"/>
    <w:rsid w:val="00674F3A"/>
    <w:rsid w:val="006828EE"/>
    <w:rsid w:val="006A2463"/>
    <w:rsid w:val="006B0D17"/>
    <w:rsid w:val="00707D52"/>
    <w:rsid w:val="00727B06"/>
    <w:rsid w:val="00745FEC"/>
    <w:rsid w:val="007D3851"/>
    <w:rsid w:val="007F0892"/>
    <w:rsid w:val="00861DA9"/>
    <w:rsid w:val="00895C25"/>
    <w:rsid w:val="008B490B"/>
    <w:rsid w:val="008B75DB"/>
    <w:rsid w:val="008C783B"/>
    <w:rsid w:val="008F3750"/>
    <w:rsid w:val="00923032"/>
    <w:rsid w:val="00951794"/>
    <w:rsid w:val="00975679"/>
    <w:rsid w:val="009D1451"/>
    <w:rsid w:val="009F56B0"/>
    <w:rsid w:val="00A40929"/>
    <w:rsid w:val="00A94DE9"/>
    <w:rsid w:val="00AA3CC6"/>
    <w:rsid w:val="00AB1B3F"/>
    <w:rsid w:val="00B41197"/>
    <w:rsid w:val="00B70487"/>
    <w:rsid w:val="00BB2813"/>
    <w:rsid w:val="00BC33A8"/>
    <w:rsid w:val="00C97AEC"/>
    <w:rsid w:val="00CB6C62"/>
    <w:rsid w:val="00CE1719"/>
    <w:rsid w:val="00D34AD6"/>
    <w:rsid w:val="00D737D8"/>
    <w:rsid w:val="00D868E6"/>
    <w:rsid w:val="00DA7DDB"/>
    <w:rsid w:val="00E653B2"/>
    <w:rsid w:val="00EA24E9"/>
    <w:rsid w:val="00EB4B3C"/>
    <w:rsid w:val="00EB7716"/>
    <w:rsid w:val="00F1705F"/>
    <w:rsid w:val="00F64B8D"/>
    <w:rsid w:val="00F75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498B84"/>
  <w15:chartTrackingRefBased/>
  <w15:docId w15:val="{9C938D2F-FF50-4E63-A829-FCA4EFAB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D17"/>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0D17"/>
    <w:pPr>
      <w:tabs>
        <w:tab w:val="center" w:pos="4703"/>
        <w:tab w:val="right" w:pos="9406"/>
      </w:tabs>
    </w:pPr>
  </w:style>
  <w:style w:type="character" w:customStyle="1" w:styleId="a4">
    <w:name w:val="Горен колонтитул Знак"/>
    <w:basedOn w:val="a0"/>
    <w:link w:val="a3"/>
    <w:uiPriority w:val="99"/>
    <w:rsid w:val="006B0D17"/>
    <w:rPr>
      <w:rFonts w:ascii="Times New Roman" w:eastAsia="Times New Roman" w:hAnsi="Times New Roman" w:cs="Times New Roman"/>
      <w:sz w:val="24"/>
      <w:szCs w:val="24"/>
      <w:lang w:val="bg-BG" w:eastAsia="bg-BG"/>
    </w:rPr>
  </w:style>
  <w:style w:type="paragraph" w:styleId="a5">
    <w:name w:val="footer"/>
    <w:basedOn w:val="a"/>
    <w:link w:val="a6"/>
    <w:uiPriority w:val="99"/>
    <w:unhideWhenUsed/>
    <w:rsid w:val="006B0D17"/>
    <w:pPr>
      <w:tabs>
        <w:tab w:val="center" w:pos="4703"/>
        <w:tab w:val="right" w:pos="9406"/>
      </w:tabs>
    </w:pPr>
  </w:style>
  <w:style w:type="character" w:customStyle="1" w:styleId="a6">
    <w:name w:val="Долен колонтитул Знак"/>
    <w:basedOn w:val="a0"/>
    <w:link w:val="a5"/>
    <w:uiPriority w:val="99"/>
    <w:rsid w:val="006B0D17"/>
    <w:rPr>
      <w:rFonts w:ascii="Times New Roman" w:eastAsia="Times New Roman" w:hAnsi="Times New Roman" w:cs="Times New Roman"/>
      <w:sz w:val="24"/>
      <w:szCs w:val="24"/>
      <w:lang w:val="bg-BG" w:eastAsia="bg-BG"/>
    </w:rPr>
  </w:style>
  <w:style w:type="paragraph" w:customStyle="1" w:styleId="FR2">
    <w:name w:val="FR2"/>
    <w:rsid w:val="00D868E6"/>
    <w:pPr>
      <w:widowControl w:val="0"/>
      <w:spacing w:after="0" w:line="300" w:lineRule="auto"/>
      <w:ind w:firstLine="720"/>
      <w:jc w:val="both"/>
    </w:pPr>
    <w:rPr>
      <w:rFonts w:ascii="Times New Roman" w:eastAsia="Times New Roman" w:hAnsi="Times New Roman" w:cs="Times New Roman"/>
      <w:sz w:val="24"/>
      <w:szCs w:val="20"/>
      <w:lang w:val="bg-BG"/>
    </w:rPr>
  </w:style>
  <w:style w:type="paragraph" w:styleId="2">
    <w:name w:val="Body Text Indent 2"/>
    <w:basedOn w:val="a"/>
    <w:link w:val="20"/>
    <w:rsid w:val="00D868E6"/>
    <w:pPr>
      <w:spacing w:after="120" w:line="480" w:lineRule="auto"/>
      <w:ind w:left="283"/>
    </w:pPr>
    <w:rPr>
      <w:sz w:val="20"/>
      <w:szCs w:val="20"/>
      <w:lang w:val="en-AU"/>
    </w:rPr>
  </w:style>
  <w:style w:type="character" w:customStyle="1" w:styleId="20">
    <w:name w:val="Основен текст с отстъп 2 Знак"/>
    <w:basedOn w:val="a0"/>
    <w:link w:val="2"/>
    <w:rsid w:val="00D868E6"/>
    <w:rPr>
      <w:rFonts w:ascii="Times New Roman" w:eastAsia="Times New Roman" w:hAnsi="Times New Roman" w:cs="Times New Roman"/>
      <w:sz w:val="20"/>
      <w:szCs w:val="20"/>
      <w:lang w:val="en-AU" w:eastAsia="bg-BG"/>
    </w:rPr>
  </w:style>
  <w:style w:type="paragraph" w:styleId="a7">
    <w:name w:val="No Spacing"/>
    <w:uiPriority w:val="1"/>
    <w:qFormat/>
    <w:rsid w:val="005D7371"/>
    <w:pPr>
      <w:spacing w:after="0" w:line="240" w:lineRule="auto"/>
    </w:pPr>
    <w:rPr>
      <w:rFonts w:ascii="Times New Roman" w:eastAsia="Times New Roman" w:hAnsi="Times New Roman" w:cs="Times New Roman"/>
      <w:sz w:val="24"/>
      <w:szCs w:val="24"/>
      <w:lang w:val="bg-BG" w:eastAsia="bg-BG"/>
    </w:rPr>
  </w:style>
  <w:style w:type="paragraph" w:styleId="a8">
    <w:name w:val="Balloon Text"/>
    <w:basedOn w:val="a"/>
    <w:link w:val="a9"/>
    <w:uiPriority w:val="99"/>
    <w:semiHidden/>
    <w:unhideWhenUsed/>
    <w:rsid w:val="00BB2813"/>
    <w:rPr>
      <w:rFonts w:ascii="Segoe UI" w:hAnsi="Segoe UI" w:cs="Segoe UI"/>
      <w:sz w:val="18"/>
      <w:szCs w:val="18"/>
    </w:rPr>
  </w:style>
  <w:style w:type="character" w:customStyle="1" w:styleId="a9">
    <w:name w:val="Изнесен текст Знак"/>
    <w:basedOn w:val="a0"/>
    <w:link w:val="a8"/>
    <w:uiPriority w:val="99"/>
    <w:semiHidden/>
    <w:rsid w:val="00BB2813"/>
    <w:rPr>
      <w:rFonts w:ascii="Segoe UI" w:eastAsia="Times New Roman" w:hAnsi="Segoe UI" w:cs="Segoe UI"/>
      <w:sz w:val="18"/>
      <w:szCs w:val="1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133492361712158E-2"/>
          <c:y val="7.1159834924171453E-2"/>
          <c:w val="0.84729067713720774"/>
          <c:h val="0.7717291608645388"/>
        </c:manualLayout>
      </c:layout>
      <c:barChart>
        <c:barDir val="col"/>
        <c:grouping val="clustered"/>
        <c:varyColors val="0"/>
        <c:ser>
          <c:idx val="0"/>
          <c:order val="0"/>
          <c:tx>
            <c:strRef>
              <c:f>Sheet1!$A$2</c:f>
              <c:strCache>
                <c:ptCount val="1"/>
                <c:pt idx="0">
                  <c:v>ФПЧ </c:v>
                </c:pt>
              </c:strCache>
            </c:strRef>
          </c:tx>
          <c:spPr>
            <a:solidFill>
              <a:srgbClr val="9999FF"/>
            </a:solidFill>
            <a:ln w="12699">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21.1</c:v>
                </c:pt>
                <c:pt idx="1">
                  <c:v>40.1</c:v>
                </c:pt>
                <c:pt idx="2">
                  <c:v>38</c:v>
                </c:pt>
                <c:pt idx="3">
                  <c:v>55.9</c:v>
                </c:pt>
                <c:pt idx="4">
                  <c:v>90.8</c:v>
                </c:pt>
                <c:pt idx="5">
                  <c:v>34.700000000000003</c:v>
                </c:pt>
                <c:pt idx="6">
                  <c:v>34.200000000000003</c:v>
                </c:pt>
                <c:pt idx="7">
                  <c:v>36.9</c:v>
                </c:pt>
                <c:pt idx="8">
                  <c:v>23.6</c:v>
                </c:pt>
                <c:pt idx="9">
                  <c:v>47.5</c:v>
                </c:pt>
                <c:pt idx="10">
                  <c:v>35.1</c:v>
                </c:pt>
                <c:pt idx="11">
                  <c:v>35.200000000000003</c:v>
                </c:pt>
                <c:pt idx="12">
                  <c:v>37.4</c:v>
                </c:pt>
                <c:pt idx="13">
                  <c:v>26.2</c:v>
                </c:pt>
                <c:pt idx="14">
                  <c:v>24.7</c:v>
                </c:pt>
                <c:pt idx="15">
                  <c:v>34.9</c:v>
                </c:pt>
                <c:pt idx="16">
                  <c:v>24</c:v>
                </c:pt>
                <c:pt idx="17">
                  <c:v>19.100000000000001</c:v>
                </c:pt>
                <c:pt idx="18">
                  <c:v>37.299999999999997</c:v>
                </c:pt>
                <c:pt idx="19">
                  <c:v>49.7</c:v>
                </c:pt>
                <c:pt idx="20">
                  <c:v>21.7</c:v>
                </c:pt>
                <c:pt idx="21">
                  <c:v>14.8</c:v>
                </c:pt>
                <c:pt idx="22">
                  <c:v>15.4</c:v>
                </c:pt>
                <c:pt idx="23">
                  <c:v>36</c:v>
                </c:pt>
                <c:pt idx="24">
                  <c:v>35.6</c:v>
                </c:pt>
                <c:pt idx="25">
                  <c:v>37.700000000000003</c:v>
                </c:pt>
                <c:pt idx="26">
                  <c:v>27</c:v>
                </c:pt>
                <c:pt idx="27">
                  <c:v>20.5</c:v>
                </c:pt>
                <c:pt idx="28">
                  <c:v>18.600000000000001</c:v>
                </c:pt>
                <c:pt idx="29">
                  <c:v>23.5</c:v>
                </c:pt>
                <c:pt idx="30">
                  <c:v>60.8</c:v>
                </c:pt>
              </c:numCache>
            </c:numRef>
          </c:val>
          <c:extLst>
            <c:ext xmlns:c16="http://schemas.microsoft.com/office/drawing/2014/chart" uri="{C3380CC4-5D6E-409C-BE32-E72D297353CC}">
              <c16:uniqueId val="{00000000-4E91-43AA-827A-11EA3688E172}"/>
            </c:ext>
          </c:extLst>
        </c:ser>
        <c:dLbls>
          <c:showLegendKey val="0"/>
          <c:showVal val="0"/>
          <c:showCatName val="0"/>
          <c:showSerName val="0"/>
          <c:showPercent val="0"/>
          <c:showBubbleSize val="0"/>
        </c:dLbls>
        <c:gapWidth val="150"/>
        <c:axId val="697639728"/>
        <c:axId val="697640272"/>
      </c:barChart>
      <c:catAx>
        <c:axId val="697639728"/>
        <c:scaling>
          <c:orientation val="minMax"/>
        </c:scaling>
        <c:delete val="0"/>
        <c:axPos val="b"/>
        <c:numFmt formatCode="General" sourceLinked="0"/>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697640272"/>
        <c:crosses val="autoZero"/>
        <c:auto val="0"/>
        <c:lblAlgn val="ctr"/>
        <c:lblOffset val="100"/>
        <c:tickLblSkip val="1"/>
        <c:tickMarkSkip val="1"/>
        <c:noMultiLvlLbl val="0"/>
      </c:catAx>
      <c:valAx>
        <c:axId val="697640272"/>
        <c:scaling>
          <c:orientation val="minMax"/>
          <c:max val="100"/>
          <c:min val="0"/>
        </c:scaling>
        <c:delete val="0"/>
        <c:axPos val="l"/>
        <c:majorGridlines>
          <c:spPr>
            <a:ln w="12699">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697639728"/>
        <c:crosses val="autoZero"/>
        <c:crossBetween val="between"/>
        <c:majorUnit val="25"/>
        <c:minorUnit val="4"/>
      </c:valAx>
      <c:spPr>
        <a:solidFill>
          <a:srgbClr val="C0C0C0"/>
        </a:solidFill>
        <a:ln w="3175">
          <a:solidFill>
            <a:srgbClr val="000000"/>
          </a:solidFill>
          <a:prstDash val="solid"/>
        </a:ln>
      </c:spPr>
    </c:plotArea>
    <c:legend>
      <c:legendPos val="r"/>
      <c:layout>
        <c:manualLayout>
          <c:xMode val="edge"/>
          <c:yMode val="edge"/>
          <c:x val="0.90948148465137502"/>
          <c:y val="0.36544850498338871"/>
          <c:w val="7.6894471071550896E-2"/>
          <c:h val="0.18604651162790703"/>
        </c:manualLayout>
      </c:layout>
      <c:overlay val="0"/>
      <c:spPr>
        <a:noFill/>
        <a:ln w="3175">
          <a:solidFill>
            <a:srgbClr val="000000"/>
          </a:solidFill>
          <a:prstDash val="solid"/>
        </a:ln>
      </c:spPr>
      <c:txPr>
        <a:bodyPr/>
        <a:lstStyle/>
        <a:p>
          <a:pPr>
            <a:defRPr sz="11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554224074591846E-2"/>
          <c:y val="0.1146273812547625"/>
          <c:w val="0.84832214765100666"/>
          <c:h val="0.76450511945392519"/>
        </c:manualLayout>
      </c:layout>
      <c:barChart>
        <c:barDir val="col"/>
        <c:grouping val="clustered"/>
        <c:varyColors val="0"/>
        <c:ser>
          <c:idx val="0"/>
          <c:order val="0"/>
          <c:tx>
            <c:strRef>
              <c:f>Sheet1!$A$2</c:f>
              <c:strCache>
                <c:ptCount val="1"/>
                <c:pt idx="0">
                  <c:v>ФПЧ </c:v>
                </c:pt>
              </c:strCache>
            </c:strRef>
          </c:tx>
          <c:spPr>
            <a:solidFill>
              <a:srgbClr val="9999FF"/>
            </a:solidFill>
            <a:ln w="12677">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General</c:formatCode>
                <c:ptCount val="31"/>
                <c:pt idx="2">
                  <c:v>13.75</c:v>
                </c:pt>
                <c:pt idx="3">
                  <c:v>14.73</c:v>
                </c:pt>
                <c:pt idx="4">
                  <c:v>17.39</c:v>
                </c:pt>
                <c:pt idx="5">
                  <c:v>23.72</c:v>
                </c:pt>
                <c:pt idx="6">
                  <c:v>29.22</c:v>
                </c:pt>
                <c:pt idx="7">
                  <c:v>32.43</c:v>
                </c:pt>
                <c:pt idx="8">
                  <c:v>34.39</c:v>
                </c:pt>
                <c:pt idx="9">
                  <c:v>37.5</c:v>
                </c:pt>
                <c:pt idx="10">
                  <c:v>40.130000000000003</c:v>
                </c:pt>
                <c:pt idx="11">
                  <c:v>43.8</c:v>
                </c:pt>
                <c:pt idx="12">
                  <c:v>39.54</c:v>
                </c:pt>
                <c:pt idx="13">
                  <c:v>35.42</c:v>
                </c:pt>
                <c:pt idx="14">
                  <c:v>26.09</c:v>
                </c:pt>
                <c:pt idx="15">
                  <c:v>30.3</c:v>
                </c:pt>
                <c:pt idx="16">
                  <c:v>37.479999999999997</c:v>
                </c:pt>
                <c:pt idx="17">
                  <c:v>49.55</c:v>
                </c:pt>
                <c:pt idx="18">
                  <c:v>41.7</c:v>
                </c:pt>
                <c:pt idx="19">
                  <c:v>38.119999999999997</c:v>
                </c:pt>
                <c:pt idx="20">
                  <c:v>42.47</c:v>
                </c:pt>
                <c:pt idx="21">
                  <c:v>53.66</c:v>
                </c:pt>
                <c:pt idx="22">
                  <c:v>20.32</c:v>
                </c:pt>
                <c:pt idx="23">
                  <c:v>36.6</c:v>
                </c:pt>
                <c:pt idx="24">
                  <c:v>39.590000000000003</c:v>
                </c:pt>
                <c:pt idx="25">
                  <c:v>25.51</c:v>
                </c:pt>
                <c:pt idx="26">
                  <c:v>34.049999999999997</c:v>
                </c:pt>
                <c:pt idx="27">
                  <c:v>46</c:v>
                </c:pt>
                <c:pt idx="28">
                  <c:v>39.28</c:v>
                </c:pt>
                <c:pt idx="29">
                  <c:v>29.21</c:v>
                </c:pt>
                <c:pt idx="30">
                  <c:v>51.27</c:v>
                </c:pt>
              </c:numCache>
            </c:numRef>
          </c:val>
          <c:extLst>
            <c:ext xmlns:c16="http://schemas.microsoft.com/office/drawing/2014/chart" uri="{C3380CC4-5D6E-409C-BE32-E72D297353CC}">
              <c16:uniqueId val="{00000000-013C-4620-9DA9-CFCE96D9C705}"/>
            </c:ext>
          </c:extLst>
        </c:ser>
        <c:dLbls>
          <c:showLegendKey val="0"/>
          <c:showVal val="0"/>
          <c:showCatName val="0"/>
          <c:showSerName val="0"/>
          <c:showPercent val="0"/>
          <c:showBubbleSize val="0"/>
        </c:dLbls>
        <c:gapWidth val="150"/>
        <c:axId val="45039279"/>
        <c:axId val="1"/>
      </c:barChart>
      <c:catAx>
        <c:axId val="45039279"/>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1"/>
        <c:crosses val="autoZero"/>
        <c:auto val="0"/>
        <c:lblAlgn val="ctr"/>
        <c:lblOffset val="100"/>
        <c:tickLblSkip val="1"/>
        <c:tickMarkSkip val="1"/>
        <c:noMultiLvlLbl val="0"/>
      </c:catAx>
      <c:valAx>
        <c:axId val="1"/>
        <c:scaling>
          <c:orientation val="minMax"/>
          <c:max val="100"/>
        </c:scaling>
        <c:delete val="0"/>
        <c:axPos val="l"/>
        <c:majorGridlines>
          <c:spPr>
            <a:ln w="12677">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45039279"/>
        <c:crosses val="autoZero"/>
        <c:crossBetween val="between"/>
        <c:majorUnit val="20"/>
        <c:minorUnit val="2"/>
      </c:valAx>
      <c:spPr>
        <a:solidFill>
          <a:srgbClr val="C0C0C0"/>
        </a:solidFill>
        <a:ln w="3170">
          <a:solidFill>
            <a:srgbClr val="000000"/>
          </a:solidFill>
          <a:prstDash val="solid"/>
        </a:ln>
      </c:spPr>
    </c:plotArea>
    <c:legend>
      <c:legendPos val="r"/>
      <c:layout>
        <c:manualLayout>
          <c:xMode val="edge"/>
          <c:yMode val="edge"/>
          <c:x val="0.91946532425157157"/>
          <c:y val="0.36177474402730375"/>
          <c:w val="8.0534675748428486E-2"/>
          <c:h val="0.19112627986348124"/>
        </c:manualLayout>
      </c:layout>
      <c:overlay val="0"/>
      <c:spPr>
        <a:noFill/>
        <a:ln w="3170">
          <a:solidFill>
            <a:srgbClr val="000000"/>
          </a:solidFill>
          <a:prstDash val="solid"/>
        </a:ln>
      </c:spPr>
      <c:txPr>
        <a:bodyPr/>
        <a:lstStyle/>
        <a:p>
          <a:pPr>
            <a:defRPr sz="1098"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8" b="1" i="0" u="none" strike="noStrike" baseline="0">
          <a:solidFill>
            <a:srgbClr val="000000"/>
          </a:solidFill>
          <a:latin typeface="Times New Roman"/>
          <a:ea typeface="Times New Roman"/>
          <a:cs typeface="Times New Roman"/>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486128626418365E-2"/>
          <c:y val="0.13087926509186351"/>
          <c:w val="0.85213090270019809"/>
          <c:h val="0.76492200974878144"/>
        </c:manualLayout>
      </c:layout>
      <c:barChart>
        <c:barDir val="col"/>
        <c:grouping val="clustered"/>
        <c:varyColors val="0"/>
        <c:ser>
          <c:idx val="0"/>
          <c:order val="0"/>
          <c:tx>
            <c:strRef>
              <c:f>Sheet1!$A$2</c:f>
              <c:strCache>
                <c:ptCount val="1"/>
                <c:pt idx="0">
                  <c:v>ФПЧ </c:v>
                </c:pt>
              </c:strCache>
            </c:strRef>
          </c:tx>
          <c:spPr>
            <a:solidFill>
              <a:srgbClr val="9999FF"/>
            </a:solidFill>
            <a:ln w="12677">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General</c:formatCode>
                <c:ptCount val="31"/>
                <c:pt idx="0">
                  <c:v>73.8</c:v>
                </c:pt>
                <c:pt idx="1">
                  <c:v>52</c:v>
                </c:pt>
                <c:pt idx="2">
                  <c:v>58.4</c:v>
                </c:pt>
                <c:pt idx="3">
                  <c:v>70.8</c:v>
                </c:pt>
                <c:pt idx="4">
                  <c:v>71.8</c:v>
                </c:pt>
                <c:pt idx="5">
                  <c:v>76.3</c:v>
                </c:pt>
                <c:pt idx="6">
                  <c:v>36.6</c:v>
                </c:pt>
                <c:pt idx="7">
                  <c:v>35.299999999999997</c:v>
                </c:pt>
                <c:pt idx="8">
                  <c:v>45</c:v>
                </c:pt>
                <c:pt idx="9">
                  <c:v>46.7</c:v>
                </c:pt>
                <c:pt idx="10">
                  <c:v>0</c:v>
                </c:pt>
                <c:pt idx="11">
                  <c:v>28.6</c:v>
                </c:pt>
                <c:pt idx="12">
                  <c:v>43.7</c:v>
                </c:pt>
                <c:pt idx="13">
                  <c:v>40.299999999999997</c:v>
                </c:pt>
                <c:pt idx="14">
                  <c:v>28</c:v>
                </c:pt>
                <c:pt idx="15">
                  <c:v>35.6</c:v>
                </c:pt>
                <c:pt idx="16">
                  <c:v>31.7</c:v>
                </c:pt>
                <c:pt idx="17">
                  <c:v>40.299999999999997</c:v>
                </c:pt>
                <c:pt idx="18">
                  <c:v>21.6</c:v>
                </c:pt>
                <c:pt idx="19">
                  <c:v>27.3</c:v>
                </c:pt>
                <c:pt idx="20">
                  <c:v>11.3</c:v>
                </c:pt>
                <c:pt idx="21">
                  <c:v>25.6</c:v>
                </c:pt>
                <c:pt idx="22">
                  <c:v>37.799999999999997</c:v>
                </c:pt>
                <c:pt idx="23">
                  <c:v>14.5</c:v>
                </c:pt>
                <c:pt idx="24">
                  <c:v>17.100000000000001</c:v>
                </c:pt>
                <c:pt idx="25">
                  <c:v>25.3</c:v>
                </c:pt>
                <c:pt idx="26">
                  <c:v>54.4</c:v>
                </c:pt>
                <c:pt idx="27">
                  <c:v>56</c:v>
                </c:pt>
                <c:pt idx="28">
                  <c:v>34.700000000000003</c:v>
                </c:pt>
                <c:pt idx="29">
                  <c:v>19.7</c:v>
                </c:pt>
              </c:numCache>
            </c:numRef>
          </c:val>
          <c:extLst>
            <c:ext xmlns:c16="http://schemas.microsoft.com/office/drawing/2014/chart" uri="{C3380CC4-5D6E-409C-BE32-E72D297353CC}">
              <c16:uniqueId val="{00000000-4301-4D47-BE89-3781653C436E}"/>
            </c:ext>
          </c:extLst>
        </c:ser>
        <c:dLbls>
          <c:showLegendKey val="0"/>
          <c:showVal val="0"/>
          <c:showCatName val="0"/>
          <c:showSerName val="0"/>
          <c:showPercent val="0"/>
          <c:showBubbleSize val="0"/>
        </c:dLbls>
        <c:gapWidth val="150"/>
        <c:axId val="45039279"/>
        <c:axId val="1"/>
      </c:barChart>
      <c:catAx>
        <c:axId val="45039279"/>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1"/>
        <c:crosses val="autoZero"/>
        <c:auto val="0"/>
        <c:lblAlgn val="ctr"/>
        <c:lblOffset val="100"/>
        <c:tickLblSkip val="1"/>
        <c:tickMarkSkip val="1"/>
        <c:noMultiLvlLbl val="0"/>
      </c:catAx>
      <c:valAx>
        <c:axId val="1"/>
        <c:scaling>
          <c:orientation val="minMax"/>
          <c:max val="100"/>
        </c:scaling>
        <c:delete val="0"/>
        <c:axPos val="l"/>
        <c:majorGridlines>
          <c:spPr>
            <a:ln w="12677">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45039279"/>
        <c:crosses val="autoZero"/>
        <c:crossBetween val="between"/>
        <c:majorUnit val="20"/>
        <c:minorUnit val="2"/>
      </c:valAx>
      <c:spPr>
        <a:solidFill>
          <a:srgbClr val="C0C0C0"/>
        </a:solidFill>
        <a:ln w="3170">
          <a:solidFill>
            <a:srgbClr val="000000"/>
          </a:solidFill>
          <a:prstDash val="solid"/>
        </a:ln>
      </c:spPr>
    </c:plotArea>
    <c:legend>
      <c:legendPos val="r"/>
      <c:layout>
        <c:manualLayout>
          <c:xMode val="edge"/>
          <c:yMode val="edge"/>
          <c:x val="0.90201337282638872"/>
          <c:y val="0.36177474402730375"/>
          <c:w val="8.4563766878537727E-2"/>
          <c:h val="0.19112627986348124"/>
        </c:manualLayout>
      </c:layout>
      <c:overlay val="0"/>
      <c:spPr>
        <a:noFill/>
        <a:ln w="3170">
          <a:solidFill>
            <a:srgbClr val="000000"/>
          </a:solidFill>
          <a:prstDash val="solid"/>
        </a:ln>
      </c:spPr>
      <c:txPr>
        <a:bodyPr/>
        <a:lstStyle/>
        <a:p>
          <a:pPr>
            <a:defRPr sz="1098"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8" b="1" i="0" u="none" strike="noStrike" baseline="0">
          <a:solidFill>
            <a:srgbClr val="000000"/>
          </a:solidFill>
          <a:latin typeface="Times New Roman"/>
          <a:ea typeface="Times New Roman"/>
          <a:cs typeface="Times New Roman"/>
        </a:defRPr>
      </a:pPr>
      <a:endParaRPr lang="en-US"/>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348993288590627E-2"/>
          <c:y val="7.8498293515358392E-2"/>
          <c:w val="0.84832214765100666"/>
          <c:h val="0.76450511945392519"/>
        </c:manualLayout>
      </c:layout>
      <c:barChart>
        <c:barDir val="col"/>
        <c:grouping val="clustered"/>
        <c:varyColors val="0"/>
        <c:ser>
          <c:idx val="0"/>
          <c:order val="0"/>
          <c:tx>
            <c:strRef>
              <c:f>Sheet1!$A$2</c:f>
              <c:strCache>
                <c:ptCount val="1"/>
                <c:pt idx="0">
                  <c:v>ФПЧ</c:v>
                </c:pt>
              </c:strCache>
            </c:strRef>
          </c:tx>
          <c:spPr>
            <a:solidFill>
              <a:srgbClr val="9999FF"/>
            </a:solidFill>
            <a:ln w="12677">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General</c:formatCode>
                <c:ptCount val="31"/>
                <c:pt idx="0">
                  <c:v>22.92</c:v>
                </c:pt>
                <c:pt idx="1">
                  <c:v>24.78</c:v>
                </c:pt>
                <c:pt idx="2">
                  <c:v>29.41</c:v>
                </c:pt>
                <c:pt idx="3">
                  <c:v>25.05</c:v>
                </c:pt>
                <c:pt idx="4">
                  <c:v>25.84</c:v>
                </c:pt>
                <c:pt idx="5">
                  <c:v>32.65</c:v>
                </c:pt>
                <c:pt idx="6">
                  <c:v>33.54</c:v>
                </c:pt>
                <c:pt idx="7">
                  <c:v>46.21</c:v>
                </c:pt>
                <c:pt idx="8">
                  <c:v>41.55</c:v>
                </c:pt>
                <c:pt idx="9">
                  <c:v>38.78</c:v>
                </c:pt>
                <c:pt idx="10">
                  <c:v>15.35</c:v>
                </c:pt>
                <c:pt idx="11">
                  <c:v>17.559999999999999</c:v>
                </c:pt>
                <c:pt idx="12">
                  <c:v>48.8</c:v>
                </c:pt>
                <c:pt idx="13">
                  <c:v>54.13</c:v>
                </c:pt>
                <c:pt idx="14">
                  <c:v>47.59</c:v>
                </c:pt>
                <c:pt idx="15">
                  <c:v>48.47</c:v>
                </c:pt>
                <c:pt idx="16">
                  <c:v>35.619999999999997</c:v>
                </c:pt>
                <c:pt idx="17">
                  <c:v>28.91</c:v>
                </c:pt>
                <c:pt idx="18">
                  <c:v>48.71</c:v>
                </c:pt>
                <c:pt idx="19">
                  <c:v>41.12</c:v>
                </c:pt>
                <c:pt idx="20">
                  <c:v>52.9</c:v>
                </c:pt>
                <c:pt idx="21">
                  <c:v>69.77</c:v>
                </c:pt>
                <c:pt idx="22">
                  <c:v>168.4</c:v>
                </c:pt>
                <c:pt idx="23">
                  <c:v>112.48</c:v>
                </c:pt>
                <c:pt idx="24">
                  <c:v>23.82</c:v>
                </c:pt>
                <c:pt idx="25">
                  <c:v>56.12</c:v>
                </c:pt>
                <c:pt idx="26">
                  <c:v>39.39</c:v>
                </c:pt>
                <c:pt idx="27">
                  <c:v>36.82</c:v>
                </c:pt>
                <c:pt idx="28">
                  <c:v>60.6</c:v>
                </c:pt>
                <c:pt idx="29">
                  <c:v>97.22</c:v>
                </c:pt>
                <c:pt idx="30">
                  <c:v>147.71</c:v>
                </c:pt>
              </c:numCache>
            </c:numRef>
          </c:val>
          <c:extLst>
            <c:ext xmlns:c16="http://schemas.microsoft.com/office/drawing/2014/chart" uri="{C3380CC4-5D6E-409C-BE32-E72D297353CC}">
              <c16:uniqueId val="{00000000-539C-487D-BA00-00D611C3F514}"/>
            </c:ext>
          </c:extLst>
        </c:ser>
        <c:dLbls>
          <c:showLegendKey val="0"/>
          <c:showVal val="0"/>
          <c:showCatName val="0"/>
          <c:showSerName val="0"/>
          <c:showPercent val="0"/>
          <c:showBubbleSize val="0"/>
        </c:dLbls>
        <c:gapWidth val="150"/>
        <c:axId val="45039279"/>
        <c:axId val="1"/>
      </c:barChart>
      <c:catAx>
        <c:axId val="45039279"/>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1"/>
        <c:crosses val="autoZero"/>
        <c:auto val="0"/>
        <c:lblAlgn val="ctr"/>
        <c:lblOffset val="100"/>
        <c:tickLblSkip val="1"/>
        <c:tickMarkSkip val="1"/>
        <c:noMultiLvlLbl val="0"/>
      </c:catAx>
      <c:valAx>
        <c:axId val="1"/>
        <c:scaling>
          <c:orientation val="minMax"/>
          <c:max val="180"/>
        </c:scaling>
        <c:delete val="0"/>
        <c:axPos val="l"/>
        <c:majorGridlines>
          <c:spPr>
            <a:ln w="12677">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45039279"/>
        <c:crosses val="autoZero"/>
        <c:crossBetween val="between"/>
        <c:majorUnit val="20"/>
        <c:minorUnit val="2"/>
      </c:valAx>
      <c:spPr>
        <a:solidFill>
          <a:srgbClr val="C0C0C0"/>
        </a:solidFill>
        <a:ln w="3170">
          <a:solidFill>
            <a:srgbClr val="000000"/>
          </a:solidFill>
          <a:prstDash val="solid"/>
        </a:ln>
      </c:spPr>
    </c:plotArea>
    <c:legend>
      <c:legendPos val="r"/>
      <c:layout>
        <c:manualLayout>
          <c:xMode val="edge"/>
          <c:yMode val="edge"/>
          <c:x val="0.90201337282638872"/>
          <c:y val="0.36177474402730375"/>
          <c:w val="8.4563766878537727E-2"/>
          <c:h val="0.19112627986348124"/>
        </c:manualLayout>
      </c:layout>
      <c:overlay val="0"/>
      <c:spPr>
        <a:noFill/>
        <a:ln w="3170">
          <a:solidFill>
            <a:srgbClr val="000000"/>
          </a:solidFill>
          <a:prstDash val="solid"/>
        </a:ln>
      </c:spPr>
      <c:txPr>
        <a:bodyPr/>
        <a:lstStyle/>
        <a:p>
          <a:pPr>
            <a:defRPr sz="1098"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8" b="1" i="0" u="none" strike="noStrike" baseline="0">
          <a:solidFill>
            <a:srgbClr val="000000"/>
          </a:solidFill>
          <a:latin typeface="Times New Roman"/>
          <a:ea typeface="Times New Roman"/>
          <a:cs typeface="Times New Roman"/>
        </a:defRPr>
      </a:pPr>
      <a:endParaRPr lang="en-U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160557516517334E-2"/>
          <c:y val="3.7571978629574856E-2"/>
          <c:w val="0.92494080089518593"/>
          <c:h val="0.88780313628309149"/>
        </c:manualLayout>
      </c:layout>
      <c:lineChart>
        <c:grouping val="standard"/>
        <c:varyColors val="0"/>
        <c:ser>
          <c:idx val="0"/>
          <c:order val="0"/>
          <c:tx>
            <c:strRef>
              <c:f>Лист1!$B$1</c:f>
              <c:strCache>
                <c:ptCount val="1"/>
                <c:pt idx="0">
                  <c:v>Колона1</c:v>
                </c:pt>
              </c:strCache>
            </c:strRef>
          </c:tx>
          <c:dLbls>
            <c:dLbl>
              <c:idx val="0"/>
              <c:layout>
                <c:manualLayout>
                  <c:x val="-5.3240740740740748E-2"/>
                  <c:y val="-4.7619047619047603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424-42DD-A717-C77B9BD25AB6}"/>
                </c:ext>
              </c:extLst>
            </c:dLbl>
            <c:dLbl>
              <c:idx val="1"/>
              <c:layout>
                <c:manualLayout>
                  <c:x val="-4.3981481481481462E-2"/>
                  <c:y val="-5.15873015873015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424-42DD-A717-C77B9BD25AB6}"/>
                </c:ext>
              </c:extLst>
            </c:dLbl>
            <c:dLbl>
              <c:idx val="2"/>
              <c:layout>
                <c:manualLayout>
                  <c:x val="-3.7037037037037035E-2"/>
                  <c:y val="-6.3492063492063489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424-42DD-A717-C77B9BD25AB6}"/>
                </c:ext>
              </c:extLst>
            </c:dLbl>
            <c:dLbl>
              <c:idx val="3"/>
              <c:layout>
                <c:manualLayout>
                  <c:x val="-3.0092592592592591E-2"/>
                  <c:y val="-3.968253968253968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424-42DD-A717-C77B9BD25AB6}"/>
                </c:ext>
              </c:extLst>
            </c:dLbl>
            <c:dLbl>
              <c:idx val="4"/>
              <c:layout>
                <c:manualLayout>
                  <c:x val="-6.9444444444444441E-3"/>
                  <c:y val="-2.777777777777781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424-42DD-A717-C77B9BD25AB6}"/>
                </c:ext>
              </c:extLst>
            </c:dLbl>
            <c:dLbl>
              <c:idx val="5"/>
              <c:layout>
                <c:manualLayout>
                  <c:x val="-1.8518518518518517E-2"/>
                  <c:y val="-5.5555555555555552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424-42DD-A717-C77B9BD25AB6}"/>
                </c:ext>
              </c:extLst>
            </c:dLbl>
            <c:dLbl>
              <c:idx val="6"/>
              <c:layout>
                <c:manualLayout>
                  <c:x val="-8.4875562720133283E-17"/>
                  <c:y val="-1.9841269841269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424-42DD-A717-C77B9BD25AB6}"/>
                </c:ext>
              </c:extLst>
            </c:dLbl>
            <c:dLbl>
              <c:idx val="7"/>
              <c:layout>
                <c:manualLayout>
                  <c:x val="-1.6203703703703703E-2"/>
                  <c:y val="-5.15873015873015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424-42DD-A717-C77B9BD25AB6}"/>
                </c:ext>
              </c:extLst>
            </c:dLbl>
            <c:dLbl>
              <c:idx val="8"/>
              <c:layout>
                <c:manualLayout>
                  <c:x val="-3.2407407407407406E-2"/>
                  <c:y val="-5.9523809523809521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8424-42DD-A717-C77B9BD25AB6}"/>
                </c:ext>
              </c:extLst>
            </c:dLbl>
            <c:dLbl>
              <c:idx val="9"/>
              <c:layout/>
              <c:spPr>
                <a:noFill/>
                <a:ln w="25337">
                  <a:noFill/>
                </a:ln>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6025333789798014E-2"/>
                      <c:h val="9.7835262755165006E-2"/>
                    </c:manualLayout>
                  </c15:layout>
                </c:ext>
                <c:ext xmlns:c16="http://schemas.microsoft.com/office/drawing/2014/chart" uri="{C3380CC4-5D6E-409C-BE32-E72D297353CC}">
                  <c16:uniqueId val="{00000000-9AEC-4CE3-A510-F0505AEF9041}"/>
                </c:ext>
              </c:extLst>
            </c:dLbl>
            <c:dLbl>
              <c:idx val="10"/>
              <c:layout/>
              <c:spPr>
                <a:noFill/>
                <a:ln w="25337">
                  <a:noFill/>
                </a:ln>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7868903343603789E-2"/>
                      <c:h val="7.609211857922149E-2"/>
                    </c:manualLayout>
                  </c15:layout>
                </c:ext>
                <c:ext xmlns:c16="http://schemas.microsoft.com/office/drawing/2014/chart" uri="{C3380CC4-5D6E-409C-BE32-E72D297353CC}">
                  <c16:uniqueId val="{00000001-9AEC-4CE3-A510-F0505AEF9041}"/>
                </c:ext>
              </c:extLst>
            </c:dLbl>
            <c:spPr>
              <a:noFill/>
              <a:ln w="2533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Лист1!$B$2:$B$12</c:f>
              <c:numCache>
                <c:formatCode>General</c:formatCode>
                <c:ptCount val="11"/>
                <c:pt idx="0">
                  <c:v>69.8</c:v>
                </c:pt>
                <c:pt idx="1">
                  <c:v>78.400000000000006</c:v>
                </c:pt>
                <c:pt idx="2">
                  <c:v>75.400000000000006</c:v>
                </c:pt>
                <c:pt idx="3">
                  <c:v>70.5</c:v>
                </c:pt>
                <c:pt idx="4">
                  <c:v>60</c:v>
                </c:pt>
                <c:pt idx="5">
                  <c:v>38.5</c:v>
                </c:pt>
                <c:pt idx="6">
                  <c:v>42.9</c:v>
                </c:pt>
                <c:pt idx="7">
                  <c:v>22.4</c:v>
                </c:pt>
                <c:pt idx="8">
                  <c:v>21.2</c:v>
                </c:pt>
                <c:pt idx="9">
                  <c:v>17.899999999999999</c:v>
                </c:pt>
                <c:pt idx="10">
                  <c:v>11</c:v>
                </c:pt>
              </c:numCache>
            </c:numRef>
          </c:val>
          <c:smooth val="0"/>
          <c:extLst>
            <c:ext xmlns:c16="http://schemas.microsoft.com/office/drawing/2014/chart" uri="{C3380CC4-5D6E-409C-BE32-E72D297353CC}">
              <c16:uniqueId val="{00000009-8424-42DD-A717-C77B9BD25AB6}"/>
            </c:ext>
          </c:extLst>
        </c:ser>
        <c:dLbls>
          <c:showLegendKey val="0"/>
          <c:showVal val="0"/>
          <c:showCatName val="0"/>
          <c:showSerName val="0"/>
          <c:showPercent val="0"/>
          <c:showBubbleSize val="0"/>
        </c:dLbls>
        <c:marker val="1"/>
        <c:smooth val="0"/>
        <c:axId val="269931407"/>
        <c:axId val="1"/>
      </c:lineChart>
      <c:catAx>
        <c:axId val="269931407"/>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269931407"/>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20765427577367"/>
          <c:y val="6.2925047616410199E-2"/>
          <c:w val="0.72909222332520551"/>
          <c:h val="0.85871757237848201"/>
        </c:manualLayout>
      </c:layout>
      <c:lineChart>
        <c:grouping val="standard"/>
        <c:varyColors val="0"/>
        <c:ser>
          <c:idx val="0"/>
          <c:order val="0"/>
          <c:tx>
            <c:strRef>
              <c:f>Лист1!$B$1</c:f>
              <c:strCache>
                <c:ptCount val="1"/>
                <c:pt idx="0">
                  <c:v>2021</c:v>
                </c:pt>
              </c:strCache>
            </c:strRef>
          </c:tx>
          <c:cat>
            <c:strRef>
              <c:f>Лист1!$A$2:$A$7</c:f>
              <c:strCache>
                <c:ptCount val="6"/>
                <c:pt idx="0">
                  <c:v>J00-J06</c:v>
                </c:pt>
                <c:pt idx="1">
                  <c:v>J10-J18</c:v>
                </c:pt>
                <c:pt idx="2">
                  <c:v>J20-J22</c:v>
                </c:pt>
                <c:pt idx="3">
                  <c:v>J30-J39</c:v>
                </c:pt>
                <c:pt idx="4">
                  <c:v>J40-J47</c:v>
                </c:pt>
                <c:pt idx="5">
                  <c:v>J60-J70</c:v>
                </c:pt>
              </c:strCache>
            </c:strRef>
          </c:cat>
          <c:val>
            <c:numRef>
              <c:f>Лист1!$B$2:$B$7</c:f>
              <c:numCache>
                <c:formatCode>#,##0</c:formatCode>
                <c:ptCount val="6"/>
                <c:pt idx="0">
                  <c:v>29749</c:v>
                </c:pt>
                <c:pt idx="1">
                  <c:v>3495</c:v>
                </c:pt>
                <c:pt idx="2">
                  <c:v>4259</c:v>
                </c:pt>
                <c:pt idx="3">
                  <c:v>1577</c:v>
                </c:pt>
                <c:pt idx="4">
                  <c:v>4682</c:v>
                </c:pt>
                <c:pt idx="5" formatCode="General">
                  <c:v>18</c:v>
                </c:pt>
              </c:numCache>
            </c:numRef>
          </c:val>
          <c:smooth val="0"/>
          <c:extLst>
            <c:ext xmlns:c16="http://schemas.microsoft.com/office/drawing/2014/chart" uri="{C3380CC4-5D6E-409C-BE32-E72D297353CC}">
              <c16:uniqueId val="{00000000-8AEB-4E19-8474-265F77D33BE3}"/>
            </c:ext>
          </c:extLst>
        </c:ser>
        <c:ser>
          <c:idx val="1"/>
          <c:order val="1"/>
          <c:tx>
            <c:strRef>
              <c:f>Лист1!$C$1</c:f>
              <c:strCache>
                <c:ptCount val="1"/>
                <c:pt idx="0">
                  <c:v>2022</c:v>
                </c:pt>
              </c:strCache>
            </c:strRef>
          </c:tx>
          <c:cat>
            <c:strRef>
              <c:f>Лист1!$A$2:$A$7</c:f>
              <c:strCache>
                <c:ptCount val="6"/>
                <c:pt idx="0">
                  <c:v>J00-J06</c:v>
                </c:pt>
                <c:pt idx="1">
                  <c:v>J10-J18</c:v>
                </c:pt>
                <c:pt idx="2">
                  <c:v>J20-J22</c:v>
                </c:pt>
                <c:pt idx="3">
                  <c:v>J30-J39</c:v>
                </c:pt>
                <c:pt idx="4">
                  <c:v>J40-J47</c:v>
                </c:pt>
                <c:pt idx="5">
                  <c:v>J60-J70</c:v>
                </c:pt>
              </c:strCache>
            </c:strRef>
          </c:cat>
          <c:val>
            <c:numRef>
              <c:f>Лист1!$C$2:$C$7</c:f>
              <c:numCache>
                <c:formatCode>#,##0</c:formatCode>
                <c:ptCount val="6"/>
                <c:pt idx="0">
                  <c:v>38360</c:v>
                </c:pt>
                <c:pt idx="1">
                  <c:v>5497</c:v>
                </c:pt>
                <c:pt idx="2">
                  <c:v>4805</c:v>
                </c:pt>
                <c:pt idx="3">
                  <c:v>2085</c:v>
                </c:pt>
                <c:pt idx="4">
                  <c:v>1923</c:v>
                </c:pt>
                <c:pt idx="5" formatCode="General">
                  <c:v>4</c:v>
                </c:pt>
              </c:numCache>
            </c:numRef>
          </c:val>
          <c:smooth val="0"/>
          <c:extLst>
            <c:ext xmlns:c16="http://schemas.microsoft.com/office/drawing/2014/chart" uri="{C3380CC4-5D6E-409C-BE32-E72D297353CC}">
              <c16:uniqueId val="{00000001-8AEB-4E19-8474-265F77D33BE3}"/>
            </c:ext>
          </c:extLst>
        </c:ser>
        <c:ser>
          <c:idx val="2"/>
          <c:order val="2"/>
          <c:tx>
            <c:strRef>
              <c:f>Лист1!$D$1</c:f>
              <c:strCache>
                <c:ptCount val="1"/>
                <c:pt idx="0">
                  <c:v>Колона1</c:v>
                </c:pt>
              </c:strCache>
            </c:strRef>
          </c:tx>
          <c:cat>
            <c:strRef>
              <c:f>Лист1!$A$2:$A$7</c:f>
              <c:strCache>
                <c:ptCount val="6"/>
                <c:pt idx="0">
                  <c:v>J00-J06</c:v>
                </c:pt>
                <c:pt idx="1">
                  <c:v>J10-J18</c:v>
                </c:pt>
                <c:pt idx="2">
                  <c:v>J20-J22</c:v>
                </c:pt>
                <c:pt idx="3">
                  <c:v>J30-J39</c:v>
                </c:pt>
                <c:pt idx="4">
                  <c:v>J40-J47</c:v>
                </c:pt>
                <c:pt idx="5">
                  <c:v>J60-J70</c:v>
                </c:pt>
              </c:strCache>
            </c:strRef>
          </c:cat>
          <c:val>
            <c:numRef>
              <c:f>Лист1!$D$2:$D$7</c:f>
              <c:numCache>
                <c:formatCode>General</c:formatCode>
                <c:ptCount val="6"/>
              </c:numCache>
            </c:numRef>
          </c:val>
          <c:smooth val="0"/>
          <c:extLst>
            <c:ext xmlns:c16="http://schemas.microsoft.com/office/drawing/2014/chart" uri="{C3380CC4-5D6E-409C-BE32-E72D297353CC}">
              <c16:uniqueId val="{00000002-8AEB-4E19-8474-265F77D33BE3}"/>
            </c:ext>
          </c:extLst>
        </c:ser>
        <c:dLbls>
          <c:showLegendKey val="0"/>
          <c:showVal val="0"/>
          <c:showCatName val="0"/>
          <c:showSerName val="0"/>
          <c:showPercent val="0"/>
          <c:showBubbleSize val="0"/>
        </c:dLbls>
        <c:marker val="1"/>
        <c:smooth val="0"/>
        <c:axId val="269933071"/>
        <c:axId val="1"/>
      </c:lineChart>
      <c:catAx>
        <c:axId val="269933071"/>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269933071"/>
        <c:crosses val="autoZero"/>
        <c:crossBetween val="between"/>
      </c:valAx>
    </c:plotArea>
    <c:legend>
      <c:legendPos val="r"/>
      <c:legendEntry>
        <c:idx val="2"/>
        <c:delete val="1"/>
      </c:legendEntry>
      <c:layout/>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0 -17 г.</c:v>
                </c:pt>
              </c:strCache>
            </c:strRef>
          </c:tx>
          <c:cat>
            <c:strRef>
              <c:f>Лист1!$A$2:$A$7</c:f>
              <c:strCache>
                <c:ptCount val="6"/>
                <c:pt idx="0">
                  <c:v>J00 - J06</c:v>
                </c:pt>
                <c:pt idx="1">
                  <c:v>J10 - J18</c:v>
                </c:pt>
                <c:pt idx="2">
                  <c:v>J20 - J22</c:v>
                </c:pt>
                <c:pt idx="3">
                  <c:v>J30 - J39</c:v>
                </c:pt>
                <c:pt idx="4">
                  <c:v>J40 - J47</c:v>
                </c:pt>
                <c:pt idx="5">
                  <c:v>J60 - J70</c:v>
                </c:pt>
              </c:strCache>
            </c:strRef>
          </c:cat>
          <c:val>
            <c:numRef>
              <c:f>Лист1!$B$2:$B$7</c:f>
              <c:numCache>
                <c:formatCode>General</c:formatCode>
                <c:ptCount val="6"/>
                <c:pt idx="0">
                  <c:v>33903</c:v>
                </c:pt>
                <c:pt idx="1">
                  <c:v>443</c:v>
                </c:pt>
                <c:pt idx="2">
                  <c:v>3082</c:v>
                </c:pt>
                <c:pt idx="3">
                  <c:v>575</c:v>
                </c:pt>
                <c:pt idx="4">
                  <c:v>1885</c:v>
                </c:pt>
                <c:pt idx="5">
                  <c:v>1</c:v>
                </c:pt>
              </c:numCache>
            </c:numRef>
          </c:val>
          <c:smooth val="0"/>
          <c:extLst>
            <c:ext xmlns:c16="http://schemas.microsoft.com/office/drawing/2014/chart" uri="{C3380CC4-5D6E-409C-BE32-E72D297353CC}">
              <c16:uniqueId val="{00000000-4783-42B7-9836-86844184B1D0}"/>
            </c:ext>
          </c:extLst>
        </c:ser>
        <c:ser>
          <c:idx val="1"/>
          <c:order val="1"/>
          <c:tx>
            <c:strRef>
              <c:f>Лист1!$C$1</c:f>
              <c:strCache>
                <c:ptCount val="1"/>
                <c:pt idx="0">
                  <c:v>над 18 г.</c:v>
                </c:pt>
              </c:strCache>
            </c:strRef>
          </c:tx>
          <c:cat>
            <c:strRef>
              <c:f>Лист1!$A$2:$A$7</c:f>
              <c:strCache>
                <c:ptCount val="6"/>
                <c:pt idx="0">
                  <c:v>J00 - J06</c:v>
                </c:pt>
                <c:pt idx="1">
                  <c:v>J10 - J18</c:v>
                </c:pt>
                <c:pt idx="2">
                  <c:v>J20 - J22</c:v>
                </c:pt>
                <c:pt idx="3">
                  <c:v>J30 - J39</c:v>
                </c:pt>
                <c:pt idx="4">
                  <c:v>J40 - J47</c:v>
                </c:pt>
                <c:pt idx="5">
                  <c:v>J60 - J70</c:v>
                </c:pt>
              </c:strCache>
            </c:strRef>
          </c:cat>
          <c:val>
            <c:numRef>
              <c:f>Лист1!$C$2:$C$7</c:f>
              <c:numCache>
                <c:formatCode>General</c:formatCode>
                <c:ptCount val="6"/>
                <c:pt idx="0">
                  <c:v>4457</c:v>
                </c:pt>
                <c:pt idx="1">
                  <c:v>1642</c:v>
                </c:pt>
                <c:pt idx="2">
                  <c:v>1723</c:v>
                </c:pt>
                <c:pt idx="3">
                  <c:v>1348</c:v>
                </c:pt>
                <c:pt idx="4">
                  <c:v>3612</c:v>
                </c:pt>
                <c:pt idx="5">
                  <c:v>3</c:v>
                </c:pt>
              </c:numCache>
            </c:numRef>
          </c:val>
          <c:smooth val="0"/>
          <c:extLst>
            <c:ext xmlns:c16="http://schemas.microsoft.com/office/drawing/2014/chart" uri="{C3380CC4-5D6E-409C-BE32-E72D297353CC}">
              <c16:uniqueId val="{00000001-4783-42B7-9836-86844184B1D0}"/>
            </c:ext>
          </c:extLst>
        </c:ser>
        <c:ser>
          <c:idx val="2"/>
          <c:order val="2"/>
          <c:tx>
            <c:strRef>
              <c:f>Лист1!$D$1</c:f>
              <c:strCache>
                <c:ptCount val="1"/>
                <c:pt idx="0">
                  <c:v>Колона1</c:v>
                </c:pt>
              </c:strCache>
            </c:strRef>
          </c:tx>
          <c:cat>
            <c:strRef>
              <c:f>Лист1!$A$2:$A$7</c:f>
              <c:strCache>
                <c:ptCount val="6"/>
                <c:pt idx="0">
                  <c:v>J00 - J06</c:v>
                </c:pt>
                <c:pt idx="1">
                  <c:v>J10 - J18</c:v>
                </c:pt>
                <c:pt idx="2">
                  <c:v>J20 - J22</c:v>
                </c:pt>
                <c:pt idx="3">
                  <c:v>J30 - J39</c:v>
                </c:pt>
                <c:pt idx="4">
                  <c:v>J40 - J47</c:v>
                </c:pt>
                <c:pt idx="5">
                  <c:v>J60 - J70</c:v>
                </c:pt>
              </c:strCache>
            </c:strRef>
          </c:cat>
          <c:val>
            <c:numRef>
              <c:f>Лист1!$D$2:$D$7</c:f>
              <c:numCache>
                <c:formatCode>General</c:formatCode>
                <c:ptCount val="6"/>
              </c:numCache>
            </c:numRef>
          </c:val>
          <c:smooth val="0"/>
          <c:extLst>
            <c:ext xmlns:c16="http://schemas.microsoft.com/office/drawing/2014/chart" uri="{C3380CC4-5D6E-409C-BE32-E72D297353CC}">
              <c16:uniqueId val="{00000002-4783-42B7-9836-86844184B1D0}"/>
            </c:ext>
          </c:extLst>
        </c:ser>
        <c:dLbls>
          <c:showLegendKey val="0"/>
          <c:showVal val="0"/>
          <c:showCatName val="0"/>
          <c:showSerName val="0"/>
          <c:showPercent val="0"/>
          <c:showBubbleSize val="0"/>
        </c:dLbls>
        <c:marker val="1"/>
        <c:smooth val="0"/>
        <c:axId val="269932655"/>
        <c:axId val="1"/>
      </c:lineChart>
      <c:catAx>
        <c:axId val="269932655"/>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269932655"/>
        <c:crosses val="autoZero"/>
        <c:crossBetween val="between"/>
      </c:valAx>
    </c:plotArea>
    <c:legend>
      <c:legendPos val="r"/>
      <c:legendEntry>
        <c:idx val="2"/>
        <c:delete val="1"/>
      </c:legendEntry>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133514986376057E-2"/>
          <c:y val="0.12811387900355853"/>
          <c:w val="0.84604904632152678"/>
          <c:h val="0.70818505338078375"/>
        </c:manualLayout>
      </c:layout>
      <c:barChart>
        <c:barDir val="col"/>
        <c:grouping val="clustered"/>
        <c:varyColors val="0"/>
        <c:ser>
          <c:idx val="0"/>
          <c:order val="0"/>
          <c:tx>
            <c:strRef>
              <c:f>Sheet1!$A$2</c:f>
              <c:strCache>
                <c:ptCount val="1"/>
                <c:pt idx="0">
                  <c:v>ФПЧ </c:v>
                </c:pt>
              </c:strCache>
            </c:strRef>
          </c:tx>
          <c:spPr>
            <a:solidFill>
              <a:srgbClr val="9999FF"/>
            </a:solidFill>
            <a:ln w="10391">
              <a:solidFill>
                <a:srgbClr val="000000"/>
              </a:solidFill>
              <a:prstDash val="solid"/>
            </a:ln>
          </c:spPr>
          <c:invertIfNegative val="0"/>
          <c:cat>
            <c:numRef>
              <c:f>Sheet1!$B$1:$AC$1</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cat>
          <c:val>
            <c:numRef>
              <c:f>Sheet1!$B$2:$AC$2</c:f>
              <c:numCache>
                <c:formatCode>General</c:formatCode>
                <c:ptCount val="28"/>
                <c:pt idx="0">
                  <c:v>38.14</c:v>
                </c:pt>
                <c:pt idx="1">
                  <c:v>26.77</c:v>
                </c:pt>
                <c:pt idx="2">
                  <c:v>18.71</c:v>
                </c:pt>
                <c:pt idx="3">
                  <c:v>37.869999999999997</c:v>
                </c:pt>
                <c:pt idx="4">
                  <c:v>38.880000000000003</c:v>
                </c:pt>
                <c:pt idx="5">
                  <c:v>32.840000000000003</c:v>
                </c:pt>
                <c:pt idx="6">
                  <c:v>67.97</c:v>
                </c:pt>
                <c:pt idx="7">
                  <c:v>16.21</c:v>
                </c:pt>
                <c:pt idx="8">
                  <c:v>18.62</c:v>
                </c:pt>
                <c:pt idx="9">
                  <c:v>43.17</c:v>
                </c:pt>
                <c:pt idx="10">
                  <c:v>30.68</c:v>
                </c:pt>
                <c:pt idx="11">
                  <c:v>25.5</c:v>
                </c:pt>
                <c:pt idx="12">
                  <c:v>30.53</c:v>
                </c:pt>
                <c:pt idx="13">
                  <c:v>39.659999999999997</c:v>
                </c:pt>
                <c:pt idx="14">
                  <c:v>51.81</c:v>
                </c:pt>
                <c:pt idx="15">
                  <c:v>63.55</c:v>
                </c:pt>
                <c:pt idx="16">
                  <c:v>75.33</c:v>
                </c:pt>
                <c:pt idx="17">
                  <c:v>18.829999999999998</c:v>
                </c:pt>
                <c:pt idx="18">
                  <c:v>35.21</c:v>
                </c:pt>
                <c:pt idx="19">
                  <c:v>27.89</c:v>
                </c:pt>
                <c:pt idx="20">
                  <c:v>36.67</c:v>
                </c:pt>
                <c:pt idx="21">
                  <c:v>23.07</c:v>
                </c:pt>
                <c:pt idx="22">
                  <c:v>17.34</c:v>
                </c:pt>
                <c:pt idx="23">
                  <c:v>23.76</c:v>
                </c:pt>
                <c:pt idx="24">
                  <c:v>36.49</c:v>
                </c:pt>
                <c:pt idx="25">
                  <c:v>53.24</c:v>
                </c:pt>
                <c:pt idx="26">
                  <c:v>27</c:v>
                </c:pt>
                <c:pt idx="27">
                  <c:v>32.270000000000003</c:v>
                </c:pt>
              </c:numCache>
            </c:numRef>
          </c:val>
          <c:extLst>
            <c:ext xmlns:c16="http://schemas.microsoft.com/office/drawing/2014/chart" uri="{C3380CC4-5D6E-409C-BE32-E72D297353CC}">
              <c16:uniqueId val="{00000000-BE79-4D6B-9FD9-2E19FF0AFADB}"/>
            </c:ext>
          </c:extLst>
        </c:ser>
        <c:dLbls>
          <c:showLegendKey val="0"/>
          <c:showVal val="0"/>
          <c:showCatName val="0"/>
          <c:showSerName val="0"/>
          <c:showPercent val="0"/>
          <c:showBubbleSize val="0"/>
        </c:dLbls>
        <c:gapWidth val="150"/>
        <c:axId val="697642448"/>
        <c:axId val="697641904"/>
      </c:barChart>
      <c:catAx>
        <c:axId val="697642448"/>
        <c:scaling>
          <c:orientation val="minMax"/>
        </c:scaling>
        <c:delete val="0"/>
        <c:axPos val="b"/>
        <c:numFmt formatCode="General" sourceLinked="0"/>
        <c:majorTickMark val="out"/>
        <c:minorTickMark val="none"/>
        <c:tickLblPos val="nextTo"/>
        <c:spPr>
          <a:ln w="6350"/>
        </c:spPr>
        <c:txPr>
          <a:bodyPr rot="0" vert="horz"/>
          <a:lstStyle/>
          <a:p>
            <a:pPr>
              <a:defRPr sz="1200" baseline="0"/>
            </a:pPr>
            <a:endParaRPr lang="en-US"/>
          </a:p>
        </c:txPr>
        <c:crossAx val="697641904"/>
        <c:crosses val="autoZero"/>
        <c:auto val="0"/>
        <c:lblAlgn val="ctr"/>
        <c:lblOffset val="100"/>
        <c:tickLblSkip val="1"/>
        <c:tickMarkSkip val="1"/>
        <c:noMultiLvlLbl val="0"/>
      </c:catAx>
      <c:valAx>
        <c:axId val="697641904"/>
        <c:scaling>
          <c:orientation val="minMax"/>
          <c:max val="100"/>
        </c:scaling>
        <c:delete val="0"/>
        <c:axPos val="l"/>
        <c:majorGridlines>
          <c:spPr>
            <a:ln w="10391">
              <a:solidFill>
                <a:srgbClr val="000000"/>
              </a:solidFill>
              <a:prstDash val="solid"/>
            </a:ln>
          </c:spPr>
        </c:majorGridlines>
        <c:numFmt formatCode="General" sourceLinked="1"/>
        <c:majorTickMark val="out"/>
        <c:minorTickMark val="none"/>
        <c:tickLblPos val="nextTo"/>
        <c:spPr>
          <a:ln w="2598">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697642448"/>
        <c:crosses val="autoZero"/>
        <c:crossBetween val="between"/>
        <c:majorUnit val="25"/>
      </c:valAx>
      <c:spPr>
        <a:solidFill>
          <a:srgbClr val="C0C0C0"/>
        </a:solidFill>
        <a:ln w="2598">
          <a:solidFill>
            <a:srgbClr val="000000"/>
          </a:solidFill>
          <a:prstDash val="solid"/>
        </a:ln>
      </c:spPr>
    </c:plotArea>
    <c:legend>
      <c:legendPos val="r"/>
      <c:layout>
        <c:manualLayout>
          <c:xMode val="edge"/>
          <c:yMode val="edge"/>
          <c:x val="0.9076941401346571"/>
          <c:y val="0.35943060498220641"/>
          <c:w val="7.4695167180189426E-2"/>
          <c:h val="0.20186996198428936"/>
        </c:manualLayout>
      </c:layout>
      <c:overlay val="0"/>
      <c:spPr>
        <a:noFill/>
        <a:ln w="2598">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982" b="1" i="0" u="none" strike="noStrike" baseline="0">
          <a:solidFill>
            <a:srgbClr val="000000"/>
          </a:solidFill>
          <a:latin typeface="Times New Roman"/>
          <a:ea typeface="Times New Roman"/>
          <a:cs typeface="Times New Roman"/>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920802460014205E-2"/>
          <c:y val="7.6309438592903164E-2"/>
          <c:w val="0.79779161653050745"/>
          <c:h val="0.71392269148174681"/>
        </c:manualLayout>
      </c:layout>
      <c:barChart>
        <c:barDir val="col"/>
        <c:grouping val="clustered"/>
        <c:varyColors val="0"/>
        <c:ser>
          <c:idx val="0"/>
          <c:order val="0"/>
          <c:tx>
            <c:strRef>
              <c:f>Sheet1!$A$2</c:f>
              <c:strCache>
                <c:ptCount val="1"/>
                <c:pt idx="0">
                  <c:v>ФПЧ </c:v>
                </c:pt>
              </c:strCache>
            </c:strRef>
          </c:tx>
          <c:spPr>
            <a:solidFill>
              <a:srgbClr val="9999FF"/>
            </a:solidFill>
            <a:ln w="12699">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General</c:formatCode>
                <c:ptCount val="31"/>
                <c:pt idx="0">
                  <c:v>27.04</c:v>
                </c:pt>
                <c:pt idx="1">
                  <c:v>28.52</c:v>
                </c:pt>
                <c:pt idx="2">
                  <c:v>29.91</c:v>
                </c:pt>
                <c:pt idx="3">
                  <c:v>43.21</c:v>
                </c:pt>
                <c:pt idx="4">
                  <c:v>56.69</c:v>
                </c:pt>
                <c:pt idx="5">
                  <c:v>38.07</c:v>
                </c:pt>
                <c:pt idx="6">
                  <c:v>29.66</c:v>
                </c:pt>
                <c:pt idx="7">
                  <c:v>37.090000000000003</c:v>
                </c:pt>
                <c:pt idx="8">
                  <c:v>42.99</c:v>
                </c:pt>
                <c:pt idx="9">
                  <c:v>31.5</c:v>
                </c:pt>
                <c:pt idx="10">
                  <c:v>31.32</c:v>
                </c:pt>
                <c:pt idx="11">
                  <c:v>39.409999999999997</c:v>
                </c:pt>
                <c:pt idx="12">
                  <c:v>27.5</c:v>
                </c:pt>
                <c:pt idx="13">
                  <c:v>46.68</c:v>
                </c:pt>
                <c:pt idx="14">
                  <c:v>52.65</c:v>
                </c:pt>
                <c:pt idx="15">
                  <c:v>67.05</c:v>
                </c:pt>
                <c:pt idx="16">
                  <c:v>42.93</c:v>
                </c:pt>
                <c:pt idx="17">
                  <c:v>40.28</c:v>
                </c:pt>
                <c:pt idx="18">
                  <c:v>37.380000000000003</c:v>
                </c:pt>
                <c:pt idx="19">
                  <c:v>43.11</c:v>
                </c:pt>
                <c:pt idx="20">
                  <c:v>50.65</c:v>
                </c:pt>
                <c:pt idx="21">
                  <c:v>56.73</c:v>
                </c:pt>
                <c:pt idx="22">
                  <c:v>49.42</c:v>
                </c:pt>
                <c:pt idx="23">
                  <c:v>43.34</c:v>
                </c:pt>
                <c:pt idx="24">
                  <c:v>52.55</c:v>
                </c:pt>
                <c:pt idx="25">
                  <c:v>48.93</c:v>
                </c:pt>
                <c:pt idx="26">
                  <c:v>36.94</c:v>
                </c:pt>
                <c:pt idx="27">
                  <c:v>48.57</c:v>
                </c:pt>
                <c:pt idx="28">
                  <c:v>101.7</c:v>
                </c:pt>
                <c:pt idx="29">
                  <c:v>60.27</c:v>
                </c:pt>
                <c:pt idx="30">
                  <c:v>72.88</c:v>
                </c:pt>
              </c:numCache>
            </c:numRef>
          </c:val>
          <c:extLst>
            <c:ext xmlns:c16="http://schemas.microsoft.com/office/drawing/2014/chart" uri="{C3380CC4-5D6E-409C-BE32-E72D297353CC}">
              <c16:uniqueId val="{00000000-8EE3-4F84-B1F3-6911297BA60E}"/>
            </c:ext>
          </c:extLst>
        </c:ser>
        <c:dLbls>
          <c:showLegendKey val="0"/>
          <c:showVal val="0"/>
          <c:showCatName val="0"/>
          <c:showSerName val="0"/>
          <c:showPercent val="0"/>
          <c:showBubbleSize val="0"/>
        </c:dLbls>
        <c:gapWidth val="150"/>
        <c:axId val="697642992"/>
        <c:axId val="697643536"/>
      </c:barChart>
      <c:catAx>
        <c:axId val="697642992"/>
        <c:scaling>
          <c:orientation val="minMax"/>
        </c:scaling>
        <c:delete val="0"/>
        <c:axPos val="b"/>
        <c:numFmt formatCode="General" sourceLinked="0"/>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697643536"/>
        <c:crosses val="autoZero"/>
        <c:auto val="0"/>
        <c:lblAlgn val="ctr"/>
        <c:lblOffset val="100"/>
        <c:tickLblSkip val="1"/>
        <c:tickMarkSkip val="1"/>
        <c:noMultiLvlLbl val="0"/>
      </c:catAx>
      <c:valAx>
        <c:axId val="697643536"/>
        <c:scaling>
          <c:orientation val="minMax"/>
          <c:max val="150"/>
        </c:scaling>
        <c:delete val="0"/>
        <c:axPos val="l"/>
        <c:majorGridlines>
          <c:spPr>
            <a:ln w="12699">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697642992"/>
        <c:crosses val="autoZero"/>
        <c:crossBetween val="between"/>
        <c:majorUnit val="25"/>
      </c:valAx>
      <c:spPr>
        <a:solidFill>
          <a:srgbClr val="C0C0C0"/>
        </a:solidFill>
        <a:ln w="3175">
          <a:solidFill>
            <a:srgbClr val="000000"/>
          </a:solidFill>
          <a:prstDash val="solid"/>
        </a:ln>
      </c:spPr>
    </c:plotArea>
    <c:legend>
      <c:legendPos val="r"/>
      <c:layout>
        <c:manualLayout>
          <c:xMode val="edge"/>
          <c:yMode val="edge"/>
          <c:x val="0.85589561736437625"/>
          <c:y val="0.36577181208053694"/>
          <c:w val="9.0192639589116122E-2"/>
          <c:h val="0.18327247314345929"/>
        </c:manualLayout>
      </c:layout>
      <c:overlay val="0"/>
      <c:spPr>
        <a:noFill/>
        <a:ln w="3175">
          <a:solidFill>
            <a:srgbClr val="000000"/>
          </a:solidFill>
          <a:prstDash val="solid"/>
        </a:ln>
      </c:spPr>
      <c:txPr>
        <a:bodyPr/>
        <a:lstStyle/>
        <a:p>
          <a:pPr>
            <a:defRPr sz="11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069425901201637E-2"/>
          <c:y val="7.8498293515358392E-2"/>
          <c:w val="0.84913217623497994"/>
          <c:h val="0.76450511945392519"/>
        </c:manualLayout>
      </c:layout>
      <c:barChart>
        <c:barDir val="col"/>
        <c:grouping val="clustered"/>
        <c:varyColors val="0"/>
        <c:ser>
          <c:idx val="0"/>
          <c:order val="0"/>
          <c:tx>
            <c:strRef>
              <c:f>Sheet1!$A$2</c:f>
              <c:strCache>
                <c:ptCount val="1"/>
                <c:pt idx="0">
                  <c:v>ФПЧ </c:v>
                </c:pt>
              </c:strCache>
            </c:strRef>
          </c:tx>
          <c:spPr>
            <a:solidFill>
              <a:srgbClr val="9999FF"/>
            </a:solidFill>
            <a:ln w="12698">
              <a:solidFill>
                <a:srgbClr val="000000"/>
              </a:solidFill>
              <a:prstDash val="solid"/>
            </a:ln>
          </c:spPr>
          <c:invertIfNegative val="0"/>
          <c:cat>
            <c:numRef>
              <c:f>Sheet1!$B$1:$AE$1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Sheet1!$B$2:$AE$2</c:f>
              <c:numCache>
                <c:formatCode>General</c:formatCode>
                <c:ptCount val="30"/>
                <c:pt idx="0">
                  <c:v>58.43</c:v>
                </c:pt>
                <c:pt idx="1">
                  <c:v>15.39</c:v>
                </c:pt>
                <c:pt idx="2">
                  <c:v>16.510000000000002</c:v>
                </c:pt>
                <c:pt idx="3">
                  <c:v>23.91</c:v>
                </c:pt>
                <c:pt idx="4">
                  <c:v>26.06</c:v>
                </c:pt>
                <c:pt idx="5">
                  <c:v>23.71</c:v>
                </c:pt>
                <c:pt idx="6">
                  <c:v>37.61</c:v>
                </c:pt>
                <c:pt idx="7">
                  <c:v>21.69</c:v>
                </c:pt>
                <c:pt idx="8">
                  <c:v>21.66</c:v>
                </c:pt>
                <c:pt idx="9">
                  <c:v>16.649999999999999</c:v>
                </c:pt>
                <c:pt idx="10">
                  <c:v>12.05</c:v>
                </c:pt>
                <c:pt idx="11">
                  <c:v>14.31</c:v>
                </c:pt>
                <c:pt idx="12">
                  <c:v>21.34</c:v>
                </c:pt>
                <c:pt idx="13">
                  <c:v>24.38</c:v>
                </c:pt>
                <c:pt idx="14">
                  <c:v>26.54</c:v>
                </c:pt>
                <c:pt idx="15">
                  <c:v>29.1</c:v>
                </c:pt>
                <c:pt idx="16">
                  <c:v>16.79</c:v>
                </c:pt>
                <c:pt idx="17">
                  <c:v>11.33</c:v>
                </c:pt>
                <c:pt idx="18">
                  <c:v>16.54</c:v>
                </c:pt>
                <c:pt idx="19">
                  <c:v>24.68</c:v>
                </c:pt>
                <c:pt idx="20">
                  <c:v>24.18</c:v>
                </c:pt>
                <c:pt idx="21">
                  <c:v>34.24</c:v>
                </c:pt>
                <c:pt idx="22">
                  <c:v>20.07</c:v>
                </c:pt>
                <c:pt idx="23">
                  <c:v>19.07</c:v>
                </c:pt>
                <c:pt idx="24">
                  <c:v>19.34</c:v>
                </c:pt>
                <c:pt idx="25">
                  <c:v>20.2</c:v>
                </c:pt>
                <c:pt idx="26">
                  <c:v>23.74</c:v>
                </c:pt>
                <c:pt idx="27">
                  <c:v>18.64</c:v>
                </c:pt>
                <c:pt idx="28">
                  <c:v>17.79</c:v>
                </c:pt>
                <c:pt idx="29">
                  <c:v>14.89</c:v>
                </c:pt>
              </c:numCache>
            </c:numRef>
          </c:val>
          <c:extLst>
            <c:ext xmlns:c16="http://schemas.microsoft.com/office/drawing/2014/chart" uri="{C3380CC4-5D6E-409C-BE32-E72D297353CC}">
              <c16:uniqueId val="{00000000-8D2E-4437-B2F9-AC3B22741EC6}"/>
            </c:ext>
          </c:extLst>
        </c:ser>
        <c:dLbls>
          <c:showLegendKey val="0"/>
          <c:showVal val="0"/>
          <c:showCatName val="0"/>
          <c:showSerName val="0"/>
          <c:showPercent val="0"/>
          <c:showBubbleSize val="0"/>
        </c:dLbls>
        <c:gapWidth val="150"/>
        <c:axId val="1608091248"/>
        <c:axId val="1608100496"/>
      </c:barChart>
      <c:catAx>
        <c:axId val="16080912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1608100496"/>
        <c:crosses val="autoZero"/>
        <c:auto val="0"/>
        <c:lblAlgn val="ctr"/>
        <c:lblOffset val="100"/>
        <c:tickLblSkip val="1"/>
        <c:tickMarkSkip val="1"/>
        <c:noMultiLvlLbl val="0"/>
      </c:catAx>
      <c:valAx>
        <c:axId val="1608100496"/>
        <c:scaling>
          <c:orientation val="minMax"/>
          <c:max val="100"/>
        </c:scaling>
        <c:delete val="0"/>
        <c:axPos val="l"/>
        <c:majorGridlines>
          <c:spPr>
            <a:ln w="12698">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1608091248"/>
        <c:crosses val="autoZero"/>
        <c:crossBetween val="between"/>
        <c:majorUnit val="20"/>
        <c:minorUnit val="2"/>
      </c:valAx>
      <c:spPr>
        <a:solidFill>
          <a:srgbClr val="C0C0C0"/>
        </a:solidFill>
        <a:ln w="3175">
          <a:solidFill>
            <a:srgbClr val="000000"/>
          </a:solidFill>
          <a:prstDash val="solid"/>
        </a:ln>
      </c:spPr>
    </c:plotArea>
    <c:legend>
      <c:legendPos val="r"/>
      <c:layout>
        <c:manualLayout>
          <c:xMode val="edge"/>
          <c:yMode val="edge"/>
          <c:x val="0.90253667026641637"/>
          <c:y val="0.36177474402730381"/>
          <c:w val="8.4112102498505842E-2"/>
          <c:h val="0.19112627986348119"/>
        </c:manualLayout>
      </c:layout>
      <c:overlay val="0"/>
      <c:spPr>
        <a:noFill/>
        <a:ln w="3175">
          <a:solidFill>
            <a:srgbClr val="000000"/>
          </a:solidFill>
          <a:prstDash val="solid"/>
        </a:ln>
      </c:spPr>
      <c:txPr>
        <a:bodyPr/>
        <a:lstStyle/>
        <a:p>
          <a:pPr>
            <a:defRPr sz="11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278688524590147E-2"/>
          <c:y val="9.5349776707016082E-2"/>
          <c:w val="0.85145360928244629"/>
          <c:h val="0.73977553178986966"/>
        </c:manualLayout>
      </c:layout>
      <c:barChart>
        <c:barDir val="col"/>
        <c:grouping val="clustered"/>
        <c:varyColors val="0"/>
        <c:ser>
          <c:idx val="0"/>
          <c:order val="0"/>
          <c:tx>
            <c:strRef>
              <c:f>Sheet1!$A$2</c:f>
              <c:strCache>
                <c:ptCount val="1"/>
                <c:pt idx="0">
                  <c:v>ФПЧ </c:v>
                </c:pt>
              </c:strCache>
            </c:strRef>
          </c:tx>
          <c:spPr>
            <a:solidFill>
              <a:srgbClr val="9999FF"/>
            </a:solidFill>
            <a:ln w="12662">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20.22</c:v>
                </c:pt>
                <c:pt idx="1">
                  <c:v>22.81</c:v>
                </c:pt>
                <c:pt idx="2">
                  <c:v>20.92</c:v>
                </c:pt>
                <c:pt idx="3">
                  <c:v>19.899999999999999</c:v>
                </c:pt>
                <c:pt idx="4">
                  <c:v>21.59</c:v>
                </c:pt>
                <c:pt idx="5">
                  <c:v>25.43</c:v>
                </c:pt>
                <c:pt idx="6">
                  <c:v>27.09</c:v>
                </c:pt>
                <c:pt idx="7">
                  <c:v>23.7</c:v>
                </c:pt>
                <c:pt idx="8">
                  <c:v>22.83</c:v>
                </c:pt>
                <c:pt idx="9">
                  <c:v>26.06</c:v>
                </c:pt>
                <c:pt idx="10">
                  <c:v>21.13</c:v>
                </c:pt>
                <c:pt idx="11">
                  <c:v>24.91</c:v>
                </c:pt>
                <c:pt idx="12">
                  <c:v>27.3</c:v>
                </c:pt>
                <c:pt idx="13">
                  <c:v>29.15</c:v>
                </c:pt>
                <c:pt idx="14">
                  <c:v>25.3</c:v>
                </c:pt>
                <c:pt idx="15">
                  <c:v>22.5</c:v>
                </c:pt>
                <c:pt idx="16">
                  <c:v>26.96</c:v>
                </c:pt>
                <c:pt idx="17">
                  <c:v>22.23</c:v>
                </c:pt>
                <c:pt idx="18">
                  <c:v>12.53</c:v>
                </c:pt>
                <c:pt idx="19">
                  <c:v>15.65</c:v>
                </c:pt>
                <c:pt idx="20">
                  <c:v>15.38</c:v>
                </c:pt>
                <c:pt idx="21">
                  <c:v>19.600000000000001</c:v>
                </c:pt>
                <c:pt idx="22">
                  <c:v>18.38</c:v>
                </c:pt>
                <c:pt idx="23">
                  <c:v>21.59</c:v>
                </c:pt>
                <c:pt idx="24">
                  <c:v>23.6</c:v>
                </c:pt>
                <c:pt idx="25">
                  <c:v>25.23</c:v>
                </c:pt>
                <c:pt idx="26">
                  <c:v>20.329999999999998</c:v>
                </c:pt>
                <c:pt idx="27">
                  <c:v>28.13</c:v>
                </c:pt>
                <c:pt idx="28">
                  <c:v>16.96</c:v>
                </c:pt>
                <c:pt idx="29">
                  <c:v>17.52</c:v>
                </c:pt>
                <c:pt idx="30">
                  <c:v>23.3</c:v>
                </c:pt>
              </c:numCache>
            </c:numRef>
          </c:val>
          <c:extLst>
            <c:ext xmlns:c16="http://schemas.microsoft.com/office/drawing/2014/chart" uri="{C3380CC4-5D6E-409C-BE32-E72D297353CC}">
              <c16:uniqueId val="{00000000-E85F-4D9B-AB84-ECAF97F06395}"/>
            </c:ext>
          </c:extLst>
        </c:ser>
        <c:dLbls>
          <c:showLegendKey val="0"/>
          <c:showVal val="0"/>
          <c:showCatName val="0"/>
          <c:showSerName val="0"/>
          <c:showPercent val="0"/>
          <c:showBubbleSize val="0"/>
        </c:dLbls>
        <c:gapWidth val="150"/>
        <c:axId val="1608097232"/>
        <c:axId val="1608097776"/>
      </c:barChart>
      <c:catAx>
        <c:axId val="1608097232"/>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97776"/>
        <c:crosses val="autoZero"/>
        <c:auto val="0"/>
        <c:lblAlgn val="ctr"/>
        <c:lblOffset val="100"/>
        <c:tickLblSkip val="1"/>
        <c:tickMarkSkip val="1"/>
        <c:noMultiLvlLbl val="0"/>
      </c:catAx>
      <c:valAx>
        <c:axId val="1608097776"/>
        <c:scaling>
          <c:orientation val="minMax"/>
          <c:max val="100"/>
        </c:scaling>
        <c:delete val="0"/>
        <c:axPos val="l"/>
        <c:majorGridlines>
          <c:spPr>
            <a:ln w="12662">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97232"/>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1120218698424438"/>
          <c:y val="0.36632698086652232"/>
          <c:w val="8.6065536821747654E-2"/>
          <c:h val="0.20071702993647544"/>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278688524590147E-2"/>
          <c:y val="8.6021505376344121E-2"/>
          <c:w val="0.84562841530054689"/>
          <c:h val="0.74910394265232971"/>
        </c:manualLayout>
      </c:layout>
      <c:barChart>
        <c:barDir val="col"/>
        <c:grouping val="clustered"/>
        <c:varyColors val="0"/>
        <c:ser>
          <c:idx val="0"/>
          <c:order val="0"/>
          <c:tx>
            <c:strRef>
              <c:f>Sheet1!$A$2</c:f>
              <c:strCache>
                <c:ptCount val="1"/>
                <c:pt idx="0">
                  <c:v>ФПЧ </c:v>
                </c:pt>
              </c:strCache>
            </c:strRef>
          </c:tx>
          <c:spPr>
            <a:solidFill>
              <a:srgbClr val="9999FF"/>
            </a:solidFill>
            <a:ln w="12665">
              <a:solidFill>
                <a:srgbClr val="000000"/>
              </a:solidFill>
              <a:prstDash val="solid"/>
            </a:ln>
          </c:spPr>
          <c:invertIfNegative val="0"/>
          <c:cat>
            <c:numRef>
              <c:f>Sheet1!$B$1:$AE$1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Sheet1!$B$2:$AE$2</c:f>
              <c:numCache>
                <c:formatCode>0.0</c:formatCode>
                <c:ptCount val="30"/>
                <c:pt idx="0">
                  <c:v>26.6</c:v>
                </c:pt>
                <c:pt idx="1">
                  <c:v>25</c:v>
                </c:pt>
                <c:pt idx="2">
                  <c:v>33.799999999999997</c:v>
                </c:pt>
                <c:pt idx="3">
                  <c:v>31</c:v>
                </c:pt>
                <c:pt idx="4">
                  <c:v>23.4</c:v>
                </c:pt>
                <c:pt idx="5">
                  <c:v>26.1</c:v>
                </c:pt>
                <c:pt idx="6">
                  <c:v>15.4</c:v>
                </c:pt>
                <c:pt idx="7">
                  <c:v>21.5</c:v>
                </c:pt>
                <c:pt idx="8">
                  <c:v>16.600000000000001</c:v>
                </c:pt>
                <c:pt idx="10">
                  <c:v>17.7</c:v>
                </c:pt>
                <c:pt idx="11">
                  <c:v>19.899999999999999</c:v>
                </c:pt>
                <c:pt idx="12">
                  <c:v>19.600000000000001</c:v>
                </c:pt>
                <c:pt idx="13">
                  <c:v>19.7</c:v>
                </c:pt>
                <c:pt idx="14">
                  <c:v>21.8</c:v>
                </c:pt>
                <c:pt idx="15">
                  <c:v>26.5</c:v>
                </c:pt>
                <c:pt idx="16">
                  <c:v>24.5</c:v>
                </c:pt>
                <c:pt idx="17">
                  <c:v>24.6</c:v>
                </c:pt>
                <c:pt idx="18">
                  <c:v>21.1</c:v>
                </c:pt>
                <c:pt idx="19">
                  <c:v>19.899999999999999</c:v>
                </c:pt>
                <c:pt idx="20">
                  <c:v>28.9</c:v>
                </c:pt>
                <c:pt idx="21">
                  <c:v>30.9</c:v>
                </c:pt>
                <c:pt idx="22">
                  <c:v>25.3</c:v>
                </c:pt>
                <c:pt idx="23">
                  <c:v>18.8</c:v>
                </c:pt>
                <c:pt idx="24">
                  <c:v>25.7</c:v>
                </c:pt>
                <c:pt idx="25">
                  <c:v>21.8</c:v>
                </c:pt>
                <c:pt idx="26">
                  <c:v>21.4</c:v>
                </c:pt>
                <c:pt idx="27">
                  <c:v>34.6</c:v>
                </c:pt>
                <c:pt idx="28">
                  <c:v>21.5</c:v>
                </c:pt>
                <c:pt idx="29">
                  <c:v>32.299999999999997</c:v>
                </c:pt>
              </c:numCache>
            </c:numRef>
          </c:val>
          <c:extLst>
            <c:ext xmlns:c16="http://schemas.microsoft.com/office/drawing/2014/chart" uri="{C3380CC4-5D6E-409C-BE32-E72D297353CC}">
              <c16:uniqueId val="{00000000-F38C-4295-A774-92DCF9A31000}"/>
            </c:ext>
          </c:extLst>
        </c:ser>
        <c:dLbls>
          <c:showLegendKey val="0"/>
          <c:showVal val="0"/>
          <c:showCatName val="0"/>
          <c:showSerName val="0"/>
          <c:showPercent val="0"/>
          <c:showBubbleSize val="0"/>
        </c:dLbls>
        <c:gapWidth val="150"/>
        <c:axId val="1608102128"/>
        <c:axId val="1608098320"/>
      </c:barChart>
      <c:catAx>
        <c:axId val="1608102128"/>
        <c:scaling>
          <c:orientation val="minMax"/>
        </c:scaling>
        <c:delete val="0"/>
        <c:axPos val="b"/>
        <c:numFmt formatCode="General"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98320"/>
        <c:crosses val="autoZero"/>
        <c:auto val="0"/>
        <c:lblAlgn val="ctr"/>
        <c:lblOffset val="100"/>
        <c:tickLblSkip val="1"/>
        <c:tickMarkSkip val="1"/>
        <c:noMultiLvlLbl val="0"/>
      </c:catAx>
      <c:valAx>
        <c:axId val="1608098320"/>
        <c:scaling>
          <c:orientation val="minMax"/>
          <c:max val="100"/>
        </c:scaling>
        <c:delete val="0"/>
        <c:axPos val="l"/>
        <c:majorGridlines>
          <c:spPr>
            <a:ln w="12665">
              <a:solidFill>
                <a:srgbClr val="000000"/>
              </a:solidFill>
              <a:prstDash val="solid"/>
            </a:ln>
          </c:spPr>
        </c:majorGridlines>
        <c:numFmt formatCode="0"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102128"/>
        <c:crosses val="autoZero"/>
        <c:crossBetween val="between"/>
        <c:majorUnit val="20"/>
        <c:minorUnit val="2"/>
      </c:valAx>
      <c:spPr>
        <a:solidFill>
          <a:srgbClr val="C0C0C0"/>
        </a:solidFill>
        <a:ln w="3167">
          <a:solidFill>
            <a:srgbClr val="000000"/>
          </a:solidFill>
          <a:prstDash val="solid"/>
        </a:ln>
      </c:spPr>
    </c:plotArea>
    <c:legend>
      <c:legendPos val="r"/>
      <c:layout>
        <c:manualLayout>
          <c:xMode val="edge"/>
          <c:yMode val="edge"/>
          <c:x val="0.9002732535145439"/>
          <c:y val="0.34767025089605735"/>
          <c:w val="8.6065508934670854E-2"/>
          <c:h val="0.20071684587813624"/>
        </c:manualLayout>
      </c:layout>
      <c:overlay val="0"/>
      <c:spPr>
        <a:noFill/>
        <a:ln w="3167">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278820375335107E-2"/>
          <c:y val="8.3333333333333343E-2"/>
          <c:w val="0.84852546916890081"/>
          <c:h val="0.75694444444444475"/>
        </c:manualLayout>
      </c:layout>
      <c:barChart>
        <c:barDir val="col"/>
        <c:grouping val="clustered"/>
        <c:varyColors val="0"/>
        <c:ser>
          <c:idx val="0"/>
          <c:order val="0"/>
          <c:tx>
            <c:strRef>
              <c:f>Sheet1!$A$2</c:f>
              <c:strCache>
                <c:ptCount val="1"/>
                <c:pt idx="0">
                  <c:v>ФПЧ </c:v>
                </c:pt>
              </c:strCache>
            </c:strRef>
          </c:tx>
          <c:spPr>
            <a:solidFill>
              <a:srgbClr val="9999FF"/>
            </a:solidFill>
            <a:ln w="12665">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36.46</c:v>
                </c:pt>
                <c:pt idx="1">
                  <c:v>38.409999999999997</c:v>
                </c:pt>
                <c:pt idx="2">
                  <c:v>32.24</c:v>
                </c:pt>
                <c:pt idx="3">
                  <c:v>37.450000000000003</c:v>
                </c:pt>
                <c:pt idx="4">
                  <c:v>40.21</c:v>
                </c:pt>
                <c:pt idx="5">
                  <c:v>25.97</c:v>
                </c:pt>
                <c:pt idx="6">
                  <c:v>18.96</c:v>
                </c:pt>
                <c:pt idx="7">
                  <c:v>17.52</c:v>
                </c:pt>
                <c:pt idx="8">
                  <c:v>19.03</c:v>
                </c:pt>
                <c:pt idx="9">
                  <c:v>13.65</c:v>
                </c:pt>
                <c:pt idx="10">
                  <c:v>15.65</c:v>
                </c:pt>
                <c:pt idx="11">
                  <c:v>16.93</c:v>
                </c:pt>
                <c:pt idx="12">
                  <c:v>18.28</c:v>
                </c:pt>
                <c:pt idx="13">
                  <c:v>20.239999999999998</c:v>
                </c:pt>
                <c:pt idx="14">
                  <c:v>23.97</c:v>
                </c:pt>
                <c:pt idx="15">
                  <c:v>21.58</c:v>
                </c:pt>
                <c:pt idx="16">
                  <c:v>19.14</c:v>
                </c:pt>
                <c:pt idx="17">
                  <c:v>21.6</c:v>
                </c:pt>
                <c:pt idx="18">
                  <c:v>25.02</c:v>
                </c:pt>
                <c:pt idx="19">
                  <c:v>23.25</c:v>
                </c:pt>
                <c:pt idx="20">
                  <c:v>23.85</c:v>
                </c:pt>
                <c:pt idx="21">
                  <c:v>35.35</c:v>
                </c:pt>
                <c:pt idx="22">
                  <c:v>35.24</c:v>
                </c:pt>
                <c:pt idx="23">
                  <c:v>36.03</c:v>
                </c:pt>
                <c:pt idx="24">
                  <c:v>32.08</c:v>
                </c:pt>
                <c:pt idx="25">
                  <c:v>32.29</c:v>
                </c:pt>
                <c:pt idx="26">
                  <c:v>25</c:v>
                </c:pt>
                <c:pt idx="27">
                  <c:v>27.83</c:v>
                </c:pt>
                <c:pt idx="28">
                  <c:v>25.6</c:v>
                </c:pt>
                <c:pt idx="29">
                  <c:v>30.63</c:v>
                </c:pt>
                <c:pt idx="30">
                  <c:v>17.47</c:v>
                </c:pt>
              </c:numCache>
            </c:numRef>
          </c:val>
          <c:extLst>
            <c:ext xmlns:c16="http://schemas.microsoft.com/office/drawing/2014/chart" uri="{C3380CC4-5D6E-409C-BE32-E72D297353CC}">
              <c16:uniqueId val="{00000000-4DE6-43A3-A240-50ACBECE9A51}"/>
            </c:ext>
          </c:extLst>
        </c:ser>
        <c:dLbls>
          <c:showLegendKey val="0"/>
          <c:showVal val="0"/>
          <c:showCatName val="0"/>
          <c:showSerName val="0"/>
          <c:showPercent val="0"/>
          <c:showBubbleSize val="0"/>
        </c:dLbls>
        <c:gapWidth val="150"/>
        <c:axId val="1608098864"/>
        <c:axId val="1608093968"/>
      </c:barChart>
      <c:catAx>
        <c:axId val="1608098864"/>
        <c:scaling>
          <c:orientation val="minMax"/>
        </c:scaling>
        <c:delete val="0"/>
        <c:axPos val="b"/>
        <c:numFmt formatCode="General"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93968"/>
        <c:crosses val="autoZero"/>
        <c:auto val="0"/>
        <c:lblAlgn val="ctr"/>
        <c:lblOffset val="100"/>
        <c:tickLblSkip val="1"/>
        <c:tickMarkSkip val="1"/>
        <c:noMultiLvlLbl val="0"/>
      </c:catAx>
      <c:valAx>
        <c:axId val="1608093968"/>
        <c:scaling>
          <c:orientation val="minMax"/>
          <c:max val="100"/>
        </c:scaling>
        <c:delete val="0"/>
        <c:axPos val="l"/>
        <c:majorGridlines>
          <c:spPr>
            <a:ln w="12665">
              <a:solidFill>
                <a:srgbClr val="000000"/>
              </a:solidFill>
              <a:prstDash val="solid"/>
            </a:ln>
          </c:spPr>
        </c:majorGridlines>
        <c:numFmt formatCode="0"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98864"/>
        <c:crosses val="autoZero"/>
        <c:crossBetween val="between"/>
        <c:majorUnit val="20"/>
        <c:minorUnit val="2"/>
      </c:valAx>
      <c:spPr>
        <a:solidFill>
          <a:srgbClr val="C0C0C0"/>
        </a:solidFill>
        <a:ln w="3167">
          <a:solidFill>
            <a:srgbClr val="000000"/>
          </a:solidFill>
          <a:prstDash val="solid"/>
        </a:ln>
      </c:spPr>
    </c:plotArea>
    <c:legend>
      <c:legendPos val="r"/>
      <c:layout>
        <c:manualLayout>
          <c:xMode val="edge"/>
          <c:yMode val="edge"/>
          <c:x val="0.90214475206728184"/>
          <c:y val="0.3611111111111111"/>
          <c:w val="8.4450371122964538E-2"/>
          <c:h val="0.19444444444444459"/>
        </c:manualLayout>
      </c:layout>
      <c:overlay val="0"/>
      <c:spPr>
        <a:noFill/>
        <a:ln w="3167">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278820375335107E-2"/>
          <c:y val="6.9444444444444475E-2"/>
          <c:w val="0.84852546916890081"/>
          <c:h val="0.77083333333333381"/>
        </c:manualLayout>
      </c:layout>
      <c:barChart>
        <c:barDir val="col"/>
        <c:grouping val="clustered"/>
        <c:varyColors val="0"/>
        <c:ser>
          <c:idx val="0"/>
          <c:order val="0"/>
          <c:tx>
            <c:strRef>
              <c:f>Sheet1!$A$2</c:f>
              <c:strCache>
                <c:ptCount val="1"/>
                <c:pt idx="0">
                  <c:v>ФПЧ </c:v>
                </c:pt>
              </c:strCache>
            </c:strRef>
          </c:tx>
          <c:spPr>
            <a:solidFill>
              <a:srgbClr val="9999FF"/>
            </a:solidFill>
            <a:ln w="12664">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13.64</c:v>
                </c:pt>
                <c:pt idx="1">
                  <c:v>15.56</c:v>
                </c:pt>
                <c:pt idx="2">
                  <c:v>21.77</c:v>
                </c:pt>
                <c:pt idx="3">
                  <c:v>17.54</c:v>
                </c:pt>
                <c:pt idx="4">
                  <c:v>26.4</c:v>
                </c:pt>
                <c:pt idx="5">
                  <c:v>26.91</c:v>
                </c:pt>
                <c:pt idx="6">
                  <c:v>33.08</c:v>
                </c:pt>
                <c:pt idx="7">
                  <c:v>22.66</c:v>
                </c:pt>
                <c:pt idx="8">
                  <c:v>26.29</c:v>
                </c:pt>
                <c:pt idx="9">
                  <c:v>28.01</c:v>
                </c:pt>
                <c:pt idx="10">
                  <c:v>22.17</c:v>
                </c:pt>
                <c:pt idx="11">
                  <c:v>19.010000000000002</c:v>
                </c:pt>
                <c:pt idx="12">
                  <c:v>29.17</c:v>
                </c:pt>
                <c:pt idx="13">
                  <c:v>23.1</c:v>
                </c:pt>
                <c:pt idx="14">
                  <c:v>24.3</c:v>
                </c:pt>
                <c:pt idx="15">
                  <c:v>21.72</c:v>
                </c:pt>
                <c:pt idx="16">
                  <c:v>25.27</c:v>
                </c:pt>
                <c:pt idx="17">
                  <c:v>33.9</c:v>
                </c:pt>
                <c:pt idx="18">
                  <c:v>36.26</c:v>
                </c:pt>
                <c:pt idx="19">
                  <c:v>44.35</c:v>
                </c:pt>
                <c:pt idx="20">
                  <c:v>33.28</c:v>
                </c:pt>
                <c:pt idx="21">
                  <c:v>22.12</c:v>
                </c:pt>
                <c:pt idx="22">
                  <c:v>21.17</c:v>
                </c:pt>
                <c:pt idx="23">
                  <c:v>24.5</c:v>
                </c:pt>
                <c:pt idx="24">
                  <c:v>53.16</c:v>
                </c:pt>
                <c:pt idx="25">
                  <c:v>47.61</c:v>
                </c:pt>
                <c:pt idx="26">
                  <c:v>52.29</c:v>
                </c:pt>
                <c:pt idx="27">
                  <c:v>50.49</c:v>
                </c:pt>
                <c:pt idx="28">
                  <c:v>34.65</c:v>
                </c:pt>
                <c:pt idx="29">
                  <c:v>29.95</c:v>
                </c:pt>
                <c:pt idx="30">
                  <c:v>36.82</c:v>
                </c:pt>
              </c:numCache>
            </c:numRef>
          </c:val>
          <c:extLst>
            <c:ext xmlns:c16="http://schemas.microsoft.com/office/drawing/2014/chart" uri="{C3380CC4-5D6E-409C-BE32-E72D297353CC}">
              <c16:uniqueId val="{00000000-28C7-4252-A6B1-C30BDD03F59E}"/>
            </c:ext>
          </c:extLst>
        </c:ser>
        <c:dLbls>
          <c:showLegendKey val="0"/>
          <c:showVal val="0"/>
          <c:showCatName val="0"/>
          <c:showSerName val="0"/>
          <c:showPercent val="0"/>
          <c:showBubbleSize val="0"/>
        </c:dLbls>
        <c:gapWidth val="150"/>
        <c:axId val="1608101040"/>
        <c:axId val="1608096688"/>
      </c:barChart>
      <c:catAx>
        <c:axId val="1608101040"/>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96688"/>
        <c:crosses val="autoZero"/>
        <c:auto val="0"/>
        <c:lblAlgn val="ctr"/>
        <c:lblOffset val="100"/>
        <c:tickLblSkip val="1"/>
        <c:tickMarkSkip val="1"/>
        <c:noMultiLvlLbl val="0"/>
      </c:catAx>
      <c:valAx>
        <c:axId val="1608096688"/>
        <c:scaling>
          <c:orientation val="minMax"/>
          <c:max val="100"/>
        </c:scaling>
        <c:delete val="0"/>
        <c:axPos val="l"/>
        <c:majorGridlines>
          <c:spPr>
            <a:ln w="12664">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101040"/>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0214475206728184"/>
          <c:y val="0.26811081434203987"/>
          <c:w val="8.6384784163320141E-2"/>
          <c:h val="0.17976034933959248"/>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278820375335107E-2"/>
          <c:y val="5.2083333333333377E-2"/>
          <c:w val="0.84852546916890081"/>
          <c:h val="0.78819444444444464"/>
        </c:manualLayout>
      </c:layout>
      <c:barChart>
        <c:barDir val="col"/>
        <c:grouping val="clustered"/>
        <c:varyColors val="0"/>
        <c:ser>
          <c:idx val="0"/>
          <c:order val="0"/>
          <c:tx>
            <c:strRef>
              <c:f>Sheet1!$A$2</c:f>
              <c:strCache>
                <c:ptCount val="1"/>
                <c:pt idx="0">
                  <c:v>ФПЧ </c:v>
                </c:pt>
              </c:strCache>
            </c:strRef>
          </c:tx>
          <c:spPr>
            <a:solidFill>
              <a:srgbClr val="9999FF"/>
            </a:solidFill>
            <a:ln w="12665">
              <a:solidFill>
                <a:srgbClr val="000000"/>
              </a:solidFill>
              <a:prstDash val="solid"/>
            </a:ln>
          </c:spPr>
          <c:invertIfNegative val="0"/>
          <c:cat>
            <c:numRef>
              <c:f>Sheet1!$B$1:$AE$1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Sheet1!$B$2:$AE$2</c:f>
              <c:numCache>
                <c:formatCode>General</c:formatCode>
                <c:ptCount val="30"/>
                <c:pt idx="0">
                  <c:v>30.96</c:v>
                </c:pt>
                <c:pt idx="1">
                  <c:v>19.059999999999999</c:v>
                </c:pt>
                <c:pt idx="2">
                  <c:v>13.91</c:v>
                </c:pt>
                <c:pt idx="3">
                  <c:v>17.77</c:v>
                </c:pt>
                <c:pt idx="4">
                  <c:v>21.39</c:v>
                </c:pt>
                <c:pt idx="5">
                  <c:v>29.42</c:v>
                </c:pt>
                <c:pt idx="6">
                  <c:v>28.53</c:v>
                </c:pt>
                <c:pt idx="7">
                  <c:v>34.44</c:v>
                </c:pt>
                <c:pt idx="8">
                  <c:v>40.29</c:v>
                </c:pt>
                <c:pt idx="9">
                  <c:v>39.74</c:v>
                </c:pt>
                <c:pt idx="10">
                  <c:v>18.399999999999999</c:v>
                </c:pt>
                <c:pt idx="11">
                  <c:v>22.91</c:v>
                </c:pt>
                <c:pt idx="12">
                  <c:v>21.1</c:v>
                </c:pt>
                <c:pt idx="13">
                  <c:v>28.02</c:v>
                </c:pt>
                <c:pt idx="14">
                  <c:v>26.34</c:v>
                </c:pt>
                <c:pt idx="15">
                  <c:v>29.71</c:v>
                </c:pt>
                <c:pt idx="16">
                  <c:v>24.39</c:v>
                </c:pt>
                <c:pt idx="17">
                  <c:v>7.84</c:v>
                </c:pt>
                <c:pt idx="18">
                  <c:v>12.21</c:v>
                </c:pt>
                <c:pt idx="19">
                  <c:v>11.17</c:v>
                </c:pt>
                <c:pt idx="20">
                  <c:v>11.7</c:v>
                </c:pt>
                <c:pt idx="21">
                  <c:v>10.93</c:v>
                </c:pt>
                <c:pt idx="22">
                  <c:v>12.01</c:v>
                </c:pt>
                <c:pt idx="23">
                  <c:v>17.16</c:v>
                </c:pt>
                <c:pt idx="24">
                  <c:v>25.74</c:v>
                </c:pt>
                <c:pt idx="25">
                  <c:v>43.23</c:v>
                </c:pt>
                <c:pt idx="26">
                  <c:v>24.03</c:v>
                </c:pt>
                <c:pt idx="27">
                  <c:v>24.25</c:v>
                </c:pt>
                <c:pt idx="29">
                  <c:v>23.12</c:v>
                </c:pt>
              </c:numCache>
            </c:numRef>
          </c:val>
          <c:extLst>
            <c:ext xmlns:c16="http://schemas.microsoft.com/office/drawing/2014/chart" uri="{C3380CC4-5D6E-409C-BE32-E72D297353CC}">
              <c16:uniqueId val="{00000000-915D-463B-91BC-5FBF25AC56C1}"/>
            </c:ext>
          </c:extLst>
        </c:ser>
        <c:dLbls>
          <c:showLegendKey val="0"/>
          <c:showVal val="0"/>
          <c:showCatName val="0"/>
          <c:showSerName val="0"/>
          <c:showPercent val="0"/>
          <c:showBubbleSize val="0"/>
        </c:dLbls>
        <c:gapWidth val="150"/>
        <c:axId val="1608089616"/>
        <c:axId val="1608090160"/>
      </c:barChart>
      <c:catAx>
        <c:axId val="1608089616"/>
        <c:scaling>
          <c:orientation val="minMax"/>
        </c:scaling>
        <c:delete val="0"/>
        <c:axPos val="b"/>
        <c:numFmt formatCode="General"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90160"/>
        <c:crosses val="autoZero"/>
        <c:auto val="0"/>
        <c:lblAlgn val="ctr"/>
        <c:lblOffset val="100"/>
        <c:tickLblSkip val="1"/>
        <c:tickMarkSkip val="1"/>
        <c:noMultiLvlLbl val="0"/>
      </c:catAx>
      <c:valAx>
        <c:axId val="1608090160"/>
        <c:scaling>
          <c:orientation val="minMax"/>
          <c:max val="100"/>
        </c:scaling>
        <c:delete val="0"/>
        <c:axPos val="l"/>
        <c:majorGridlines>
          <c:spPr>
            <a:ln w="12665">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608089616"/>
        <c:crosses val="autoZero"/>
        <c:crossBetween val="between"/>
        <c:majorUnit val="20"/>
        <c:minorUnit val="2"/>
      </c:valAx>
      <c:spPr>
        <a:solidFill>
          <a:srgbClr val="C0C0C0"/>
        </a:solidFill>
        <a:ln w="3167">
          <a:solidFill>
            <a:srgbClr val="000000"/>
          </a:solidFill>
          <a:prstDash val="solid"/>
        </a:ln>
      </c:spPr>
    </c:plotArea>
    <c:legend>
      <c:legendPos val="r"/>
      <c:layout>
        <c:manualLayout>
          <c:xMode val="edge"/>
          <c:yMode val="edge"/>
          <c:x val="0.91452313818862818"/>
          <c:y val="0.35678222040426771"/>
          <c:w val="8.4450371122964538E-2"/>
          <c:h val="0.19444450316193707"/>
        </c:manualLayout>
      </c:layout>
      <c:overlay val="0"/>
      <c:spPr>
        <a:noFill/>
        <a:ln w="3167">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0.04768</cdr:x>
      <cdr:y>0.47966</cdr:y>
    </cdr:from>
    <cdr:to>
      <cdr:x>0.8938</cdr:x>
      <cdr:y>0.5209</cdr:y>
    </cdr:to>
    <cdr:sp macro="" textlink="">
      <cdr:nvSpPr>
        <cdr:cNvPr id="2" name="Freeform 1"/>
        <cdr:cNvSpPr>
          <a:spLocks xmlns:a="http://schemas.openxmlformats.org/drawingml/2006/main"/>
        </cdr:cNvSpPr>
      </cdr:nvSpPr>
      <cdr:spPr bwMode="auto">
        <a:xfrm xmlns:a="http://schemas.openxmlformats.org/drawingml/2006/main">
          <a:off x="339741" y="1329523"/>
          <a:ext cx="6028351" cy="114308"/>
        </a:xfrm>
        <a:custGeom xmlns:a="http://schemas.openxmlformats.org/drawingml/2006/main">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noFill xmlns:a="http://schemas.openxmlformats.org/drawingml/2006/main"/>
        <a:ln xmlns:a="http://schemas.openxmlformats.org/drawingml/2006/main" w="19050">
          <a:solidFill>
            <a:srgbClr val="0000FF"/>
          </a:solidFill>
          <a:round/>
          <a:headEnd/>
          <a:tailEnd/>
        </a:ln>
        <a:extLst xmlns:a="http://schemas.openxmlformats.org/drawingml/2006/main"/>
      </cdr:spPr>
      <cdr:txBody>
        <a:bodyPr xmlns:a="http://schemas.openxmlformats.org/drawingml/2006/main"/>
        <a:lstStyle xmlns:a="http://schemas.openxmlformats.org/drawingml/2006/main"/>
        <a:p xmlns:a="http://schemas.openxmlformats.org/drawingml/2006/main">
          <a:endParaRPr lang="bg-BG"/>
        </a:p>
      </cdr:txBody>
    </cdr:sp>
  </cdr:relSizeAnchor>
</c:userShapes>
</file>

<file path=word/drawings/drawing2.xml><?xml version="1.0" encoding="utf-8"?>
<c:userShapes xmlns:c="http://schemas.openxmlformats.org/drawingml/2006/chart">
  <cdr:relSizeAnchor xmlns:cdr="http://schemas.openxmlformats.org/drawingml/2006/chartDrawing">
    <cdr:from>
      <cdr:x>0.09052</cdr:x>
      <cdr:y>0.48818</cdr:y>
    </cdr:from>
    <cdr:to>
      <cdr:x>0.93861</cdr:x>
      <cdr:y>0.49148</cdr:y>
    </cdr:to>
    <cdr:cxnSp macro="">
      <cdr:nvCxnSpPr>
        <cdr:cNvPr id="3" name="Straight Connector 2"/>
        <cdr:cNvCxnSpPr/>
      </cdr:nvCxnSpPr>
      <cdr:spPr>
        <a:xfrm xmlns:a="http://schemas.openxmlformats.org/drawingml/2006/main">
          <a:off x="592840" y="1278719"/>
          <a:ext cx="5554472" cy="8644"/>
        </a:xfrm>
        <a:prstGeom xmlns:a="http://schemas.openxmlformats.org/drawingml/2006/main" prst="line">
          <a:avLst/>
        </a:prstGeom>
        <a:ln xmlns:a="http://schemas.openxmlformats.org/drawingml/2006/main">
          <a:solidFill>
            <a:srgbClr val="354DFB"/>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0.05548</cdr:x>
      <cdr:y>0.5082</cdr:y>
    </cdr:from>
    <cdr:to>
      <cdr:x>0.90357</cdr:x>
      <cdr:y>0.5115</cdr:y>
    </cdr:to>
    <cdr:cxnSp macro="">
      <cdr:nvCxnSpPr>
        <cdr:cNvPr id="3" name="Straight Connector 2"/>
        <cdr:cNvCxnSpPr/>
      </cdr:nvCxnSpPr>
      <cdr:spPr>
        <a:xfrm xmlns:a="http://schemas.openxmlformats.org/drawingml/2006/main">
          <a:off x="369973" y="1355362"/>
          <a:ext cx="5655717" cy="8801"/>
        </a:xfrm>
        <a:prstGeom xmlns:a="http://schemas.openxmlformats.org/drawingml/2006/main" prst="line">
          <a:avLst/>
        </a:prstGeom>
        <a:ln xmlns:a="http://schemas.openxmlformats.org/drawingml/2006/main">
          <a:solidFill>
            <a:srgbClr val="354DFB"/>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0.06119</cdr:x>
      <cdr:y>0.63072</cdr:y>
    </cdr:from>
    <cdr:to>
      <cdr:x>0.90928</cdr:x>
      <cdr:y>0.63402</cdr:y>
    </cdr:to>
    <cdr:cxnSp macro="">
      <cdr:nvCxnSpPr>
        <cdr:cNvPr id="3" name="Straight Connector 2"/>
        <cdr:cNvCxnSpPr/>
      </cdr:nvCxnSpPr>
      <cdr:spPr>
        <a:xfrm xmlns:a="http://schemas.openxmlformats.org/drawingml/2006/main">
          <a:off x="408051" y="1682139"/>
          <a:ext cx="5655717" cy="8801"/>
        </a:xfrm>
        <a:prstGeom xmlns:a="http://schemas.openxmlformats.org/drawingml/2006/main" prst="line">
          <a:avLst/>
        </a:prstGeom>
        <a:ln xmlns:a="http://schemas.openxmlformats.org/drawingml/2006/main">
          <a:solidFill>
            <a:srgbClr val="354DFB"/>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892B6-B14E-4F13-9A98-9C17D039C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775</TotalTime>
  <Pages>15</Pages>
  <Words>4191</Words>
  <Characters>23890</Characters>
  <Application>Microsoft Office Word</Application>
  <DocSecurity>0</DocSecurity>
  <Lines>199</Lines>
  <Paragraphs>56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2023-05-04T05:07:00Z</cp:lastPrinted>
  <dcterms:created xsi:type="dcterms:W3CDTF">2023-03-27T10:17:00Z</dcterms:created>
  <dcterms:modified xsi:type="dcterms:W3CDTF">2023-05-04T05:15:00Z</dcterms:modified>
</cp:coreProperties>
</file>