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02" w:rsidRDefault="00944A02" w:rsidP="002C614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Класификация на риска от малария и вид на превантивните мерки (по СЗО 2015)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1188"/>
        <w:gridCol w:w="3699"/>
        <w:gridCol w:w="8289"/>
      </w:tblGrid>
      <w:tr w:rsidR="00944A02" w:rsidRPr="00FE7265" w:rsidTr="00FE7265"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Риск от малария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Вид на преантивните мерки</w:t>
            </w:r>
          </w:p>
        </w:tc>
      </w:tr>
      <w:tr w:rsidR="00944A02" w:rsidRPr="00092637" w:rsidTr="00FE7265">
        <w:tc>
          <w:tcPr>
            <w:tcW w:w="1188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Cs/>
                <w:color w:val="000000"/>
                <w:sz w:val="24"/>
                <w:szCs w:val="24"/>
                <w:lang w:val="bg-BG"/>
              </w:rPr>
              <w:t>Тип А</w:t>
            </w:r>
          </w:p>
        </w:tc>
        <w:tc>
          <w:tcPr>
            <w:tcW w:w="3699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Много нисък риск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Предпазни мерки за ухапвания от комари</w:t>
            </w:r>
          </w:p>
        </w:tc>
      </w:tr>
      <w:tr w:rsidR="00944A02" w:rsidRPr="00092637" w:rsidTr="00FE7265">
        <w:tc>
          <w:tcPr>
            <w:tcW w:w="1188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Cs/>
                <w:color w:val="000000"/>
                <w:sz w:val="24"/>
                <w:szCs w:val="24"/>
                <w:lang w:val="bg-BG"/>
              </w:rPr>
              <w:t>Тип В</w:t>
            </w:r>
          </w:p>
        </w:tc>
        <w:tc>
          <w:tcPr>
            <w:tcW w:w="3699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Риск само за 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4B341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vivax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iCs/>
                <w:color w:val="000000"/>
                <w:sz w:val="24"/>
                <w:szCs w:val="24"/>
                <w:lang w:val="bg-BG"/>
              </w:rPr>
              <w:t>малария</w:t>
            </w:r>
          </w:p>
        </w:tc>
        <w:tc>
          <w:tcPr>
            <w:tcW w:w="0" w:type="auto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Предпазване от ухапвания от комари плюс химиопрофилактика с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chloroquine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,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или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doxycycline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или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atovaquone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−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proguanil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или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mefloquine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(изборът е съгласно данните за чувствителността на паразита, докладваните странични ефекти и контраиндикации)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944A02" w:rsidRPr="00092637" w:rsidTr="00FE7265">
        <w:tc>
          <w:tcPr>
            <w:tcW w:w="1188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Cs/>
                <w:color w:val="000000"/>
                <w:sz w:val="24"/>
                <w:szCs w:val="24"/>
                <w:lang w:val="bg-BG"/>
              </w:rPr>
              <w:t>Тип С</w:t>
            </w:r>
          </w:p>
        </w:tc>
        <w:tc>
          <w:tcPr>
            <w:tcW w:w="3699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Риск за 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4B341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. 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falciparum</w:t>
            </w:r>
            <w:r w:rsidRPr="00FE72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</w:t>
            </w:r>
            <w:r w:rsidRPr="00FE7265">
              <w:rPr>
                <w:rFonts w:ascii="Times New Roman" w:hAnsi="Times New Roman"/>
                <w:iCs/>
                <w:color w:val="000000"/>
                <w:sz w:val="24"/>
                <w:szCs w:val="24"/>
                <w:lang w:val="bg-BG"/>
              </w:rPr>
              <w:t>малария и известна резистентност към chloroquine и sulfadoxine–pyrimethamine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944A02" w:rsidRPr="004B341D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Предпазване от ухапвания от комари плюс химиопрофилактика с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atovaquone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</w:p>
          <w:p w:rsidR="00944A02" w:rsidRPr="004B341D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proguanil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или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doxycycline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или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mefloquine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(изборът е съгласно данните за докладваните странични ефекти и контраиндикации)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944A02" w:rsidRPr="00092637" w:rsidTr="00FE7265">
        <w:tc>
          <w:tcPr>
            <w:tcW w:w="1188" w:type="dxa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Cs/>
                <w:color w:val="000000"/>
                <w:sz w:val="24"/>
                <w:szCs w:val="24"/>
                <w:lang w:val="bg-BG"/>
              </w:rPr>
              <w:t xml:space="preserve">Тип </w:t>
            </w:r>
            <w:r w:rsidRPr="00FE7265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3699" w:type="dxa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Риск за </w:t>
            </w:r>
            <w:r w:rsidRPr="00FE7265">
              <w:rPr>
                <w:rFonts w:ascii="Times New Roman" w:hAnsi="Times New Roman"/>
                <w:i/>
                <w:color w:val="000000"/>
                <w:sz w:val="24"/>
                <w:szCs w:val="24"/>
                <w:lang w:val="bg-BG"/>
              </w:rPr>
              <w:t>P. falciparum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малария и докладвана мултилекарствена резистентност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Предпазване от ухапвания от комари плюс химиопрофилактика с atovaquone–</w:t>
            </w:r>
          </w:p>
          <w:p w:rsidR="00944A02" w:rsidRPr="004B341D" w:rsidRDefault="00944A02" w:rsidP="00FE726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FE726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proguanil или doxycycline или mefloquine (изборът е съгласно данните за докладваните странични ефекти и контраиндикации)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bg-BG"/>
              </w:rPr>
              <w:t>а</w:t>
            </w:r>
            <w:r w:rsidRPr="004B341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, </w:t>
            </w:r>
            <w:r w:rsidRPr="00FE726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</w:tbl>
    <w:p w:rsidR="00944A02" w:rsidRDefault="00944A02" w:rsidP="00CA5843">
      <w:pPr>
        <w:spacing w:line="36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44A02" w:rsidRPr="004B341D" w:rsidRDefault="00944A02" w:rsidP="000268D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  <w:r w:rsidRPr="004B341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Алтернативно за пътуващи в селски и слабо населени райони с риск от малария Тип А, предпазните мерки за ухапвания от комари могат да се съчетаят с възможност за провеждане на спешно лечение (</w:t>
      </w:r>
      <w:r w:rsidRPr="004D5EB8">
        <w:rPr>
          <w:rFonts w:ascii="Times New Roman" w:hAnsi="Times New Roman"/>
          <w:sz w:val="24"/>
          <w:szCs w:val="24"/>
          <w:lang w:val="bg-BG"/>
        </w:rPr>
        <w:t>stand-by emergency treatment</w:t>
      </w:r>
      <w:r w:rsidRPr="004B341D"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SBET</w:t>
      </w:r>
      <w:r w:rsidRPr="004B341D">
        <w:rPr>
          <w:rFonts w:ascii="Times New Roman" w:hAnsi="Times New Roman"/>
          <w:sz w:val="24"/>
          <w:szCs w:val="24"/>
          <w:lang w:val="ru-RU"/>
        </w:rPr>
        <w:t>)</w:t>
      </w:r>
    </w:p>
    <w:p w:rsidR="00944A02" w:rsidRPr="004B341D" w:rsidRDefault="00944A02" w:rsidP="000268D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  <w:r w:rsidRPr="004B341D">
        <w:rPr>
          <w:rFonts w:ascii="Times New Roman" w:hAnsi="Times New Roman"/>
          <w:sz w:val="24"/>
          <w:szCs w:val="24"/>
          <w:lang w:val="ru-RU"/>
        </w:rPr>
        <w:t xml:space="preserve"> В някои райони с множествена лекарствена </w:t>
      </w:r>
      <w:r>
        <w:rPr>
          <w:rFonts w:ascii="Times New Roman" w:hAnsi="Times New Roman"/>
          <w:sz w:val="24"/>
          <w:szCs w:val="24"/>
          <w:lang w:val="bg-BG"/>
        </w:rPr>
        <w:t>резистентност</w:t>
      </w:r>
      <w:r w:rsidRPr="004B341D">
        <w:rPr>
          <w:rFonts w:ascii="Times New Roman" w:hAnsi="Times New Roman"/>
          <w:sz w:val="24"/>
          <w:szCs w:val="24"/>
          <w:lang w:val="ru-RU"/>
        </w:rPr>
        <w:t>, химиопрофилактика</w:t>
      </w:r>
      <w:r>
        <w:rPr>
          <w:rFonts w:ascii="Times New Roman" w:hAnsi="Times New Roman"/>
          <w:sz w:val="24"/>
          <w:szCs w:val="24"/>
          <w:lang w:val="bg-BG"/>
        </w:rPr>
        <w:t xml:space="preserve"> с </w:t>
      </w:r>
      <w:r w:rsidRPr="004B341D">
        <w:rPr>
          <w:rFonts w:ascii="Times New Roman" w:hAnsi="Times New Roman"/>
          <w:sz w:val="24"/>
          <w:szCs w:val="24"/>
          <w:lang w:val="ru-RU"/>
        </w:rPr>
        <w:t>мефлокин вече не се препоръчва.</w:t>
      </w:r>
    </w:p>
    <w:p w:rsidR="00944A02" w:rsidRDefault="00944A02" w:rsidP="000268D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</w:t>
      </w:r>
      <w:r w:rsidRPr="004B341D">
        <w:rPr>
          <w:rFonts w:ascii="Times New Roman" w:hAnsi="Times New Roman"/>
          <w:sz w:val="24"/>
          <w:szCs w:val="24"/>
          <w:lang w:val="ru-RU"/>
        </w:rPr>
        <w:t xml:space="preserve"> момента това включва Камбоджа, Югоизточен регион на Мианмар и Тайланд.</w:t>
      </w:r>
    </w:p>
    <w:p w:rsidR="00944A02" w:rsidRDefault="00944A02" w:rsidP="000268D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944A02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44A02" w:rsidRPr="004B341D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Списък на страните с разпространена местна малария</w:t>
      </w:r>
      <w:r w:rsidRPr="004B341D">
        <w:rPr>
          <w:rFonts w:ascii="Times New Roman" w:hAnsi="Times New Roman"/>
          <w:b/>
          <w:sz w:val="24"/>
          <w:szCs w:val="24"/>
          <w:lang w:val="ru-RU"/>
        </w:rPr>
        <w:t xml:space="preserve"> (* =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риск само от </w:t>
      </w:r>
      <w:r>
        <w:rPr>
          <w:rFonts w:ascii="Times New Roman" w:hAnsi="Times New Roman"/>
          <w:b/>
          <w:i/>
          <w:iCs/>
          <w:sz w:val="24"/>
          <w:szCs w:val="24"/>
          <w:lang w:val="en-US"/>
        </w:rPr>
        <w:t>P</w:t>
      </w:r>
      <w:r w:rsidRPr="004B341D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i/>
          <w:iCs/>
          <w:sz w:val="24"/>
          <w:szCs w:val="24"/>
          <w:lang w:val="en-US"/>
        </w:rPr>
        <w:t>vivax</w:t>
      </w:r>
      <w:r w:rsidRPr="004B341D">
        <w:rPr>
          <w:rFonts w:ascii="Times New Roman" w:hAnsi="Times New Roman"/>
          <w:b/>
          <w:sz w:val="24"/>
          <w:szCs w:val="24"/>
          <w:lang w:val="ru-RU"/>
        </w:rPr>
        <w:t>)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4392"/>
        <w:gridCol w:w="4392"/>
        <w:gridCol w:w="4392"/>
      </w:tblGrid>
      <w:tr w:rsidR="00944A02" w:rsidRPr="00FE7265" w:rsidTr="00FE7265">
        <w:tc>
          <w:tcPr>
            <w:tcW w:w="4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Afghanistan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Gabon </w:t>
            </w:r>
          </w:p>
        </w:tc>
        <w:tc>
          <w:tcPr>
            <w:tcW w:w="4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Panama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Algeria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*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Gambia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Papua New Guinea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Angola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Georgia*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Paraguay*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Argentina*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Ghana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Peru</w:t>
            </w:r>
          </w:p>
        </w:tc>
      </w:tr>
      <w:tr w:rsidR="00944A02" w:rsidRPr="00FE7265" w:rsidTr="00FE7265">
        <w:trPr>
          <w:trHeight w:val="557"/>
        </w:trPr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Azerbaijan*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Greece*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Philippines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Bangladesh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Guatemala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Russian Federation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Belize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Guinea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Rwanda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Benin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Guinea-Bissau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Sao Tome and Principe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Bhutan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Guyana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Saudi Arabia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Bolivia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Plurinational State of Haiti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Senegal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Botswana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Honduras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Sierra Leone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Brazil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India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Solomon Islands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Burkina Faso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Indonesia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Somalia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Burundi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Islamic Republic of Iran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South Africa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Cambodia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Iraq*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Sri Lanka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Cameroon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Kenya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Sudan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Cabo Verde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Korea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South Sudan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Central African Republic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Democratic People’s</w:t>
            </w: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 Republic of </w:t>
            </w: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bg-BG"/>
                  </w:rPr>
                  <w:t>Korea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*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Suriname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Chad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Republic of</w:t>
            </w: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Kyrgyzstan*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Swaziland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China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Lao People’s Democratic Republic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Syrian Arab Republic*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Colombia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Liberia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Tajikistan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Comoros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Madagascar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Thailand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Congo</w:t>
                </w:r>
              </w:smartTag>
            </w:smartTag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Malawi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Timor-Leste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Democratic Republic of the </w:t>
            </w: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Congo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Malaysia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Togo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Costa Rica</w:t>
                </w:r>
              </w:smartTag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Mali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Turkey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Côte d’Ivoire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Mauritania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Uganda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Djibouti</w:t>
                </w:r>
              </w:smartTag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place">
              <w:r w:rsidRPr="00FE7265">
                <w:rPr>
                  <w:rFonts w:ascii="Times New Roman" w:hAnsi="Times New Roman"/>
                  <w:b/>
                  <w:color w:val="000000"/>
                  <w:sz w:val="24"/>
                  <w:szCs w:val="24"/>
                  <w:lang w:val="en-US"/>
                </w:rPr>
                <w:t>Mayotte</w:t>
              </w:r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United </w:t>
            </w:r>
            <w:smartTag w:uri="urn:schemas-microsoft-com:office:smarttags" w:element="PlaceType">
              <w:smartTag w:uri="urn:schemas-microsoft-com:office:smarttags" w:element="place">
                <w:smartTag w:uri="urn:schemas-microsoft-com:office:smarttags" w:element="PlaceType">
                  <w:r w:rsidRPr="00FE726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Republic</w:t>
                  </w:r>
                </w:smartTag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 xml:space="preserve"> of </w:t>
                </w:r>
                <w:smartTag w:uri="urn:schemas-microsoft-com:office:smarttags" w:element="PlaceName">
                  <w:r w:rsidRPr="00FE726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Tanzania</w:t>
                  </w:r>
                </w:smartTag>
              </w:smartTag>
            </w:smartTag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Dominican Republic</w:t>
                </w:r>
              </w:smartTag>
            </w:smartTag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Mexico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Uzbekistan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Ecuador</w:t>
                </w:r>
              </w:smartTag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Mozambique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Vanuatu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Egypt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Myanmar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Venezuela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El Salvador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Namibia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Viet Nam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Equatorial Guinea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Nepal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Yemen</w:t>
            </w:r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Eritrea</w:t>
                </w:r>
              </w:smartTag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Nicaragua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Zambia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  <w:lang w:val="en-US"/>
                  </w:rPr>
                  <w:t>Ethiopia</w:t>
                </w:r>
              </w:smartTag>
            </w:smartTag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Niger</w:t>
                </w:r>
              </w:smartTag>
            </w:smartTag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Zimbabwe</w:t>
                </w:r>
              </w:smartTag>
            </w:smartTag>
          </w:p>
        </w:tc>
      </w:tr>
      <w:tr w:rsidR="00944A02" w:rsidRPr="00FE7265" w:rsidTr="00FE7265"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place">
              <w:r w:rsidRPr="00FE7265"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en-US"/>
                </w:rPr>
                <w:t>French Guiana</w:t>
              </w:r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Nigeria</w:t>
                </w:r>
              </w:smartTag>
            </w:smartTag>
          </w:p>
        </w:tc>
        <w:tc>
          <w:tcPr>
            <w:tcW w:w="4392" w:type="dxa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</w:tr>
      <w:tr w:rsidR="00944A02" w:rsidRPr="00FE7265" w:rsidTr="00FE7265"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FE7265">
                  <w:rPr>
                    <w:rFonts w:ascii="Times New Roman" w:hAnsi="Times New Roman"/>
                    <w:b/>
                    <w:color w:val="000000"/>
                    <w:sz w:val="24"/>
                    <w:szCs w:val="24"/>
                    <w:lang w:val="en-US"/>
                  </w:rPr>
                  <w:t>Oman</w:t>
                </w:r>
              </w:smartTag>
            </w:smartTag>
          </w:p>
        </w:tc>
        <w:tc>
          <w:tcPr>
            <w:tcW w:w="4392" w:type="dxa"/>
            <w:tcBorders>
              <w:left w:val="nil"/>
              <w:right w:val="nil"/>
            </w:tcBorders>
            <w:shd w:val="clear" w:color="auto" w:fill="C0C0C0"/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</w:tr>
      <w:tr w:rsidR="00944A02" w:rsidRPr="00FE7265" w:rsidTr="00FE7265">
        <w:tc>
          <w:tcPr>
            <w:tcW w:w="4392" w:type="dxa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FE7265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Pakistan</w:t>
            </w: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 w:rsidR="00944A02" w:rsidRPr="00FE7265" w:rsidRDefault="00944A02" w:rsidP="00FE726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944A02" w:rsidRPr="00B37B06" w:rsidRDefault="00944A02" w:rsidP="00B37B0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B341D">
        <w:rPr>
          <w:rFonts w:ascii="Times New Roman" w:hAnsi="Times New Roman"/>
          <w:b/>
          <w:sz w:val="24"/>
          <w:szCs w:val="24"/>
          <w:lang w:val="ru-RU"/>
        </w:rPr>
        <w:t>*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Съществува риск само от </w:t>
      </w:r>
      <w:r w:rsidRPr="00B37B06">
        <w:rPr>
          <w:rFonts w:ascii="Times New Roman" w:hAnsi="Times New Roman"/>
          <w:b/>
          <w:i/>
          <w:iCs/>
          <w:sz w:val="24"/>
          <w:szCs w:val="24"/>
          <w:lang w:val="en-US"/>
        </w:rPr>
        <w:t>P</w:t>
      </w:r>
      <w:r w:rsidRPr="004B341D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. </w:t>
      </w:r>
      <w:r w:rsidRPr="00B37B06">
        <w:rPr>
          <w:rFonts w:ascii="Times New Roman" w:hAnsi="Times New Roman"/>
          <w:b/>
          <w:i/>
          <w:iCs/>
          <w:sz w:val="24"/>
          <w:szCs w:val="24"/>
          <w:lang w:val="en-US"/>
        </w:rPr>
        <w:t>vivax</w:t>
      </w:r>
    </w:p>
    <w:p w:rsidR="00944A02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44A02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</w:p>
    <w:p w:rsidR="00944A02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val="bg-BG"/>
        </w:rPr>
      </w:pPr>
      <w:r w:rsidRPr="00C078F8">
        <w:rPr>
          <w:rFonts w:ascii="Times New Roman" w:hAnsi="Times New Roman"/>
          <w:b/>
          <w:sz w:val="28"/>
          <w:szCs w:val="20"/>
          <w:lang w:val="bg-BG"/>
        </w:rPr>
        <w:t>МИНИСТЕРСТВО НА ЗДРАВЕОПАЗВАНЕТО</w:t>
      </w: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bg-BG"/>
        </w:rPr>
      </w:pP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u w:val="single"/>
          <w:lang w:val="bg-BG"/>
        </w:rPr>
      </w:pPr>
      <w:r w:rsidRPr="00C078F8">
        <w:rPr>
          <w:rFonts w:ascii="Times New Roman" w:hAnsi="Times New Roman"/>
          <w:b/>
          <w:sz w:val="24"/>
          <w:szCs w:val="20"/>
          <w:u w:val="single"/>
          <w:lang w:val="bg-BG"/>
        </w:rPr>
        <w:t>НАЦИОНАЛЕН ЦЕНТЪР ПО ЗАРАЗНИ И ПАРАЗИТНИ БОЛЕСТИ – СОФИЯ</w:t>
      </w: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bg-BG"/>
        </w:rPr>
      </w:pP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bg-BG"/>
        </w:rPr>
      </w:pPr>
      <w:r w:rsidRPr="00C078F8">
        <w:rPr>
          <w:rFonts w:ascii="Times New Roman" w:hAnsi="Times New Roman"/>
          <w:b/>
          <w:sz w:val="24"/>
          <w:szCs w:val="20"/>
          <w:lang w:val="bg-BG"/>
        </w:rPr>
        <w:t>РАЗПРОСТРАНЕНИЕ НА МАЛАРИЯТА, РИСК ЗА ЗАРАЗЯВАНЕ И ПРЕПОРЪКИ ЗА ХИМИОПРОФИЛАКТИКА</w:t>
      </w:r>
    </w:p>
    <w:p w:rsidR="00944A02" w:rsidRPr="00C078F8" w:rsidRDefault="00944A02" w:rsidP="00C078F8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bg-BG"/>
        </w:rPr>
      </w:pPr>
      <w:r w:rsidRPr="00C078F8">
        <w:rPr>
          <w:rFonts w:ascii="Times New Roman" w:hAnsi="Times New Roman"/>
          <w:sz w:val="24"/>
          <w:szCs w:val="20"/>
          <w:lang w:val="bg-BG"/>
        </w:rPr>
        <w:t xml:space="preserve"> </w:t>
      </w:r>
      <w:r w:rsidRPr="00C078F8">
        <w:rPr>
          <w:rFonts w:ascii="Times New Roman" w:hAnsi="Times New Roman"/>
          <w:b/>
          <w:sz w:val="24"/>
          <w:szCs w:val="20"/>
          <w:lang w:val="bg-BG"/>
        </w:rPr>
        <w:t>/ПО СЗО-2015 г./</w:t>
      </w:r>
    </w:p>
    <w:tbl>
      <w:tblPr>
        <w:tblW w:w="147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851"/>
        <w:gridCol w:w="6095"/>
        <w:gridCol w:w="1559"/>
        <w:gridCol w:w="1418"/>
        <w:gridCol w:w="2551"/>
      </w:tblGrid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Страна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Малариен</w:t>
            </w: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сезон</w:t>
            </w: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/месеци/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Разпространение на маларията и риск от заразяване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Вид на причинителя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Резистентност към: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Препарат за химиопрофилактика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</w:tr>
      <w:tr w:rsidR="00944A02" w:rsidRPr="00FE7265" w:rsidTr="00C078F8">
        <w:trPr>
          <w:trHeight w:val="390"/>
        </w:trPr>
        <w:tc>
          <w:tcPr>
            <w:tcW w:w="14742" w:type="dxa"/>
            <w:gridSpan w:val="7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АФРИКА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FE7265" w:rsidTr="00C078F8">
        <w:trPr>
          <w:trHeight w:val="1875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Алжир</w:t>
            </w:r>
          </w:p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10/11-4/5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Малки локални огнища на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vivax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са регистрирани в 6 юго-източни района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Адрар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Ел Оуед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Гхардайя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Илизи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Оуарга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Таманрасет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Изолирано местно разпостранение на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било регистрирано в два от най-южните райони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Като цяло рискът в Алжир е незначителен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P. falciparum 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Не се налага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Ангола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Бенин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Ботсвана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11-5/6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Северна част: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 Ботети, Чобе, Нгамиленд, Окаванго, Тутуме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рисковите райони.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Буркина Фасо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Бурунди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Габон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Гамбия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Гана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Гвинея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Гвинея Бисау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Джибути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ДР Конго /Заир/ 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14.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Египет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Много малък риск от заразяване в областта Ел Файюм.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 1998г. няма обявени случаи на малария.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Екваториална Гвинея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16.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Етиопия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2000м надморска височина. Няма риск в Адис Абеба.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60%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40%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17.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Еритрея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2200м надморска височина. Няма риск в Асмара.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Замбия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Повсеместно, включително и Лусака.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Зимбабве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11-6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1200м. н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адморска височина. Разпространението е целогодишно в долината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Замбези. В Хараре и Булауайо рискът е минимален.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Камерун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Кабо Верде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9-11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Ограничен риск на островите Сантяго и Боа Виста (1 случай на местна малария през 2012 г.)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предпазни мрежи срещу комарите.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Кения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целогодишно разпространение,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като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рискът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сравнително по-малък в Найроби (и над 2500м.) и също в  централните, източните и западните провинции, както и в Рифт Вали и Нианза.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Конго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MAL, MEF,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24.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Коморски острови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MAL, MEF,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Кот Д’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Ивоар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MAL,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Либерия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MAL,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27.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078F8">
              <w:rPr>
                <w:rFonts w:ascii="Times New Roman" w:hAnsi="Times New Roman"/>
                <w:lang w:val="bg-BG"/>
              </w:rPr>
              <w:t>Мавритания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 има в цялата страна с изключение на северните райони: Дакхлет-Ноуадхибоу и Тирис-Земоур.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 от малария съществува през дъждовния период в Адрар и Инчири.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078F8">
              <w:rPr>
                <w:rFonts w:ascii="Times New Roman" w:hAnsi="Times New Roman"/>
                <w:lang w:val="bg-BG"/>
              </w:rPr>
              <w:t>Остров Мадагаскар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 С най-висок риск са крайбрежните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Майоте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Има риск главно за тропическа малария.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Малави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Мали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Мароко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Съвсем ограничен риск в някои селски района в провинц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ия Чефчаоуен. Няма регистрирани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местни случаи от 2005г.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-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Мозамбик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 (IV)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Намибия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11-6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Налице е риск в районите Охангвена, Омахеке, Омусати, Ошана, Ошикото и Отжозонджупа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протежение на реките Каванго, Кунене и район Каприви разпространението е целогодишно.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MEF, MAL, DOX (С) в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Нигер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Нигерия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Руанда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Сао Томе и Принсипи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</w:tbl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078F8">
        <w:rPr>
          <w:rFonts w:ascii="Times New Roman" w:hAnsi="Times New Roman"/>
          <w:sz w:val="24"/>
          <w:szCs w:val="24"/>
          <w:lang w:val="bg-BG"/>
        </w:rPr>
        <w:br w:type="page"/>
      </w:r>
    </w:p>
    <w:tbl>
      <w:tblPr>
        <w:tblW w:w="147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851"/>
        <w:gridCol w:w="6095"/>
        <w:gridCol w:w="1559"/>
        <w:gridCol w:w="1418"/>
        <w:gridCol w:w="2551"/>
      </w:tblGrid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Свазиленд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Във всички ниски равнинни райони (предимно Биг Бенд, Мхлуме, Симуние и Тшанени).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в рискоите региони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Сенегал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 По-малък риск има от януари до юни в централните западни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Сомалия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Повсеместно, като рискът е относително по-нисък и сезонен в северната част на страната и съответно значително по-висок в централната и южните части.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Судан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 Рискът е нисък в северната част на страната (сезонен). Висок риск има в централната и южна част на страната. Рискът от малария е много ограничен по крайбрежието на Червено море.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Сиера Леоне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Танзания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Повсеместно, под 1800м.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Того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Уганда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Повсеместно, включително и в главните градове: Форт Портал, Джинджа, Кампала, Мбале и Кигези.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(С)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Централна Африканска Република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Чад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ЮАР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райони с малка надморска височина в северната част, провинция Мпумаланга (вкл. Нац. Парк “Крюгер”), Лимпопо и североизточен Ква Зулу-Натал на юг до река Тугела. Рискът е целогодишен, но е най-висок от октомври  до май.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рисковите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078F8">
        <w:rPr>
          <w:rFonts w:ascii="Times New Roman" w:hAnsi="Times New Roman"/>
          <w:sz w:val="24"/>
          <w:szCs w:val="24"/>
          <w:lang w:val="bg-BG"/>
        </w:rPr>
        <w:br w:type="page"/>
      </w:r>
    </w:p>
    <w:tbl>
      <w:tblPr>
        <w:tblW w:w="147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851"/>
        <w:gridCol w:w="6095"/>
        <w:gridCol w:w="1559"/>
        <w:gridCol w:w="1418"/>
        <w:gridCol w:w="2551"/>
      </w:tblGrid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  <w:t>2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</w:tr>
      <w:tr w:rsidR="00944A02" w:rsidRPr="00FE7265" w:rsidTr="00C078F8">
        <w:tc>
          <w:tcPr>
            <w:tcW w:w="14742" w:type="dxa"/>
            <w:gridSpan w:val="7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АЗИЯ И ОКЕАНИЯ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Азербайджан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Съществува ограничен риск от малария в низините, главно в районите между реките Кура и Аракс.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Липсва риск в столицата Баку.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Предпазване от ухапване на комари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Афганистан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5-11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Под 2000м надморска височина.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MEF, MAL, DOX (C)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Бангладеш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Рискът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малария е целогодишен, но трансмисия на заболяването съществува само в селски райони на 13 от 64 окръга. Най-висок риск съществува в Читагонг и Кокс Базар. Нисък риск съществува в окръзите  Hobigonj, Kurigram, Moulvibazar, Mymensingh,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Netrakona, Sherpur, Sunamgonj и Sylhet. В останалата част от страната, както и  столицата Дака не са рискови.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Бутан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южната част на 5 области: Чхукха, Самчи, Самдруп-Джонкхар, Гейлег-фуг и Шемганг.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рисковите райони.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Бруней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Регистрирани са случаи на </w:t>
            </w:r>
            <w:r w:rsidRPr="00C078F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B341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C078F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knowlesi</w:t>
            </w:r>
            <w:r w:rsidRPr="00C078F8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C078F8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малария при хора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 knowlesi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Предпазване от ухапване на комари 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Вануату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-от нисък до умерен риск от заразяване.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MAL,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44A02" w:rsidRPr="00FE7265" w:rsidTr="00C078F8">
        <w:trPr>
          <w:trHeight w:val="1125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Грузия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Съществува ограничен риск от малария терциана в източната част на страната, граничеща с Азербейджан. Местни случаи на малария не са регистрирани от 2013 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Репеленти и защитни мрежи срещу комари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 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Йемен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Повсеместно под 2000м. По-висок риск от заразяване има в периода септември-февруари.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Няма риск в столицата Сана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`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Рискът на остров Сокотра е ограничен.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предпазни мрежи срещу комари на остров Сокотра.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Индия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2000 м с изключение на щатите Химачал Прадеш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 Джаму,  Кашмир  и Сиким. Рискът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резистентен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 по-висок в североизточните щати Андаман, островите Никобар, Кхатисгарх, Гу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жарат, Джаркханд, Карнатака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 изключение на град Бенгалуру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 Мадх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я Прадеш, Махараштра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 изключение на градовете Мумбай, Нагпур, Насик и Пуне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 Ориса и Западен Бенгал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 изключение на град Калкута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(40-50%)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(50-60%)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Индонезия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Най-висок риск от малария има в пет източни провинции: Иист Нуса Тенгара, Малуку, Норт Малуку, Папуа и Уест Папуа. В ос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таналите части на страната рискът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ограничен и сведен от нисък до несъществуващ в Джакарта, големите градове и повечето големи туристически обекти. Регистрирани са случаи на инфекция с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провинция Калимантан.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</w:tc>
      </w:tr>
      <w:tr w:rsidR="00944A02" w:rsidRPr="00092637" w:rsidTr="00C078F8">
        <w:trPr>
          <w:trHeight w:val="270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Иран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3-11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 от малария терциана (P.vivax) и много ограничен от малария тропика (P.falciparum) има в селските региони на провинциите Хормозган, Керман (тропическата част) и южната част на Систан-Балучестан.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Ирак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5-11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Ограничен риск в северните райони под 1500м (Духок, Ербил и Сулаймания). От 2009 г. няма регистрирани местни случаи на малария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Не се налагат мерки за защита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13.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Камбоджа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с изключение на Пном Пен и около Тонле Сап.  Рискът от малария в туристическите райони на Ангкор Ват е минимален.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Регистрирани са случаи на инфекция с щамове на P.falciparum, резистентни на artesunate, mefloquine, lumefantrine и piperaquine е установен в Западна Камбоджа и разпростираща се към централната част на страната резистентност на P. vivax към chloroquine е установена в Източна Камбоджа.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западните провинции.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ОХ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(D)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14.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Китай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7-11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провинции Хайнан и Юннан  е разпространена малария тропика.  Съобщава се за P.falciparum с множествена лекарствена резистентност. Ограничен риск от малария терциана съществува в някои южни и централни провинции като Анхуи, Гюизху, Хюбей, Хюнан, Янгсу. Не съществува риск в урбанизираните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в Хайнан и Юн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ан.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(В) – в рисковите райони.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Киргизстан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 – 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 от заразяване, основно с P.vivax от юни до октомври в някои южни и западни части на страната, главно в Баткен, Ош и област Джалалабадска, в райони, гранични на Таджикистан и Узбекистан и в предградията на Бишкек. От 2011 до 2013 г. няма регистрирани местни случаи на малария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Репеленти и защитни мрежи срещу комари.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Корейска Демократична Народна Република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Ограничен риск от заразяване в някои южни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защитни мрежи срещу комари.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Република Корея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Ограничен риск от заразяване има главно в северните райони на провинциите Гангуонг - До и Гиеонджи – До и град Инчеон (до демилитизираната зона).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Репеленти и защитни мрежи срещу комари.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Руска Федерация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Съвсем ограничен риск съществува в райони, където има засилена миграция от южни съседни страни.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Лаос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Повсеместно, освен във Виентиан.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092637" w:rsidTr="00C078F8">
        <w:trPr>
          <w:trHeight w:val="1140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Малайзия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има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само в ограничени райони във вътрешността на щатите Сабах и Саравак и централните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части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страната. В урбанизираните и крайбрежни райони няма малария. Регистрирани са случаи на инфекция с човешки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44A02" w:rsidRPr="00092637" w:rsidTr="00C078F8">
        <w:trPr>
          <w:trHeight w:val="1140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Мианмар /Бирма/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Целогодишно под 1000м надморска височина, в диви и селски хълмисти и гористи райони, както и някои крайбрежни зони на щата Рахкин. В градовете и урбанизираните райони липсва риск. Мефлокин резистентни щамове на P.falciparu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m са установени в щатите Кайян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Шан- източната част. Открити са  щамове на P.vivax с резистентност към хлорокин. Регистрирани са и случаи на инфекция с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P.knowlesi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DОХ (D) в югоизточен Мианмар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Непал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селските райони на областта Тераи (вкл. горите и горските селища) и  особено пограничните зони с Индия. Опасността от зараза с P.falciparum е най-голяма през месеците от юли до октомври.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Оман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Спорадични случаи на трансмисии на P.falciparum и на P.vivax са докладвани до 2003г., през 2010г. са реги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стрирани ограничени взривове на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P.vivax и P.falciparum малария в райони на Северна Шаркия. Спорадични случаи са докладвани през 2011 и 2012 г.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24.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Пакистан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2000м. и основно в селски райони от юли до декември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Папуа Нова Гвинея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под 1800м. Регистрирана е резистентност на P.vivax съм хлорокин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092637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Саудитска Арабия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Страната е в преелиминационна фаза на маларията. Спорадични случаи се регистрират в селски райони, в близост до границата с Йемен. Няма риск в Мека и Медина.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региони</w:t>
            </w:r>
          </w:p>
        </w:tc>
      </w:tr>
      <w:tr w:rsidR="00944A02" w:rsidRPr="00FE7265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Сирия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Огнища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има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 протежението на северната граница, изключително в североизточната част на страната, особена в района Ел Хасака. Няма регистрирани местни случаи от 2005г.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-</w:t>
            </w:r>
          </w:p>
        </w:tc>
      </w:tr>
      <w:tr w:rsidR="00944A02" w:rsidRPr="00FE7265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Сингапур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Регистрират се случаи на инфекция с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хора.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защитни мрежи срещу комари.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</w:t>
            </w:r>
          </w:p>
        </w:tc>
      </w:tr>
      <w:tr w:rsidR="00944A02" w:rsidRPr="00092637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Соломонови острови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с изключение на някои източно и южно разположени островчета.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региони</w:t>
            </w:r>
          </w:p>
        </w:tc>
      </w:tr>
      <w:tr w:rsidR="00944A02" w:rsidRPr="00092637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Виетнам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Повсеместно и целогодишно с изключение на урбанизираните центрове, делтата на Червената река и делтата на Меконг,  както и крайбрежните райони на Централен Виетнам.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Област с висок риск са планинските райони под 1500м, южно от 18</w:t>
            </w:r>
            <w:r w:rsidRPr="00C078F8">
              <w:rPr>
                <w:rFonts w:ascii="Times New Roman" w:hAnsi="Times New Roman"/>
                <w:sz w:val="24"/>
                <w:szCs w:val="24"/>
                <w:vertAlign w:val="superscript"/>
                <w:lang w:val="bg-BG"/>
              </w:rPr>
              <w:t xml:space="preserve">0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северна ширина, особено в централните провинции: Дак Лак, Джиа Лай, Кон Тум и Дак Нанк, Бин Фуок, както и  западните части на крайморските провинции Куанг Три, Куанг Нам, Нинх Тхуан и Кхан Хоа.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рисковите региони</w:t>
            </w:r>
          </w:p>
        </w:tc>
      </w:tr>
      <w:tr w:rsidR="00944A02" w:rsidRPr="00092637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Таджикистан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Особено в южните гранични райони (Хатлон) и в някои централни (Душанбе), западни (Горен Бадакшан) и северни (Ленинабад)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южните части на страната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(В) – в рисковите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 в южните части на страната</w:t>
            </w:r>
          </w:p>
        </w:tc>
      </w:tr>
      <w:tr w:rsidR="00944A02" w:rsidRPr="00092637" w:rsidTr="00C078F8">
        <w:trPr>
          <w:cantSplit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Тайланд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селските райони, гористите и хълмисти райони на цялата страна и основно в пограничните райони, включително и най-южните провинции. Липсва риск в градовете и повечето туристически обекти /Бангкок, Чиангмай, Патайа, Пукет, Самуи/.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Описана резистентност към мефлокин, артемизинин и хинин в граничните с Камбоджа и Мианмар райони. Регистрирани са случаи на инфекция с човешки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P.knowlesi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Репеленти и защитни мрежи срещу комари.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(А) в големите градове и повечето туристически обекти.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DОХ (D) в граничните с Камбоджа и Мианмар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Тимор Лесте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 – 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MEF, MAL, DOX (С)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34.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Туркменистан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някои селища от югоизточната част на страната и около границата с Афганистан. Няма регистрирани случаи на автохтонна малария от 2006 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защитни мрежи срещу комари.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35.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Турция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5-10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югоизточната част на страната, основно в про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инция Мардин. Няма риск в основните туристически обекти, в западната и югозападната части.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защитни мрежи срещу комари.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 в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Узбекистан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Спорадични, местни случаи на малария терциана в южната и източна част на страната. Няма регистрирани местни случаи за периода 2011 – 2013 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Репеленти и предпазни мрежи срещу комари. (А)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Филипини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 съществува целогодишно в областите под 600 м с изключение на 22 провинции като Аклан, Албей, Бенгует, Биларан, Бохол, Камигуин, Капиз, Катандуанес, Кавите, Себу, Гуимарас, Илойло, Северен и Южен Лейте, Мариндуке, Масбате, Из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точен, Северен и Западен Самар,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Секвиьор, Сорсогон, Суригао Дел Норте и столицата Манила. Няма риск също в градските и равнинни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Докладван е случай на инфекция с човешки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knowlesi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провинция Палаван.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de-DE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de-DE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,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Шри Ланка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Ограничен риск, с изключение на областите Коломбо, Галее, Гампаха, Калутара, Матара и Нюара Елия. Няма регистрирани местни случаи от октомври 2012 г.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-88%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12%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Репеленти и предпазни мрежи срещу комари (А) 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  <w:t>2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</w:tr>
      <w:tr w:rsidR="00944A02" w:rsidRPr="00FE7265" w:rsidTr="00C078F8">
        <w:trPr>
          <w:cantSplit/>
        </w:trPr>
        <w:tc>
          <w:tcPr>
            <w:tcW w:w="14742" w:type="dxa"/>
            <w:gridSpan w:val="7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ЛАТИНСКА АМЕРИКА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Аржентина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Рискът е малък и е ограничен в рамките на департаментите Оран и Сан Мартин в провинция Салта и  по-малка степен в проинциите Кориентес и Мисионес.  Останалите части на страната ли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 риск, като случаи на малария не са регистрирани в последните години на територията на цялата страна.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Р.vivax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Предпазване от ухапване от комари (А)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Белиз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Съществува риск преди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мно от малария с причинител P. vivax в някои райони на Стан Крийк и е незначителен в останалите части на страната.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Предпазване от ухапване от комари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Боливия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Малария терциана (P.vivax) под 2500м в цялата страна.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се открива в Санта Круз и северните райони Бени и Пандо. Особено засегнати са суб-районите Гуауарамерин, Кобиджа и Рибералта.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94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(В) - в рискови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de-DE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de-DE"/>
              </w:rPr>
              <w:t>MAL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 Санта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Круз, Бени и Пандо.</w:t>
            </w:r>
          </w:p>
        </w:tc>
      </w:tr>
      <w:tr w:rsidR="00944A02" w:rsidRPr="00092637" w:rsidTr="00C078F8">
        <w:trPr>
          <w:trHeight w:val="5262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Бразилия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щатите извън административния регион Амазонас, рискът от малария е от минимален до несъществуващ. Най-високо разпространение има в гористите райони под 900м надморска височина в девет щата от региона Амазонас: Акре, Амапа, Амазонас, Маранхао (западна част), Мато Гроссо (северна част), Пара (с изключение на град Белем), Рондониа, Рораима и Токантис (западна част). Трансмисията е много интензивна в района на джунглата, миньорски, дърводобивни и селскостопански селища, които съществуват от скоро (по-малко от 5 години), както и в периферията на градовете Крузейро до Сул, П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орто Велхо,и Манаус. Трансмисията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на малария е установена и в покрайнините на големите градове като Боа Виста, Макапа, Мараба, Рио Бранко и Сантарем е главно в периферията на тези градов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4B341D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84%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15%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Смесена малария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щамове на P.falciparum с множествена лекарствена резистентност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MAL,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рисковите 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Венецуела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Малария терциана (P.vivax) и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тропика (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)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са разпространени в някои селски райони на щатите Амазонас, Анзоатегуи, Боливар и Делта Амакуро. По-нисък риск се отчита в Апуре, Монагас, Сукре и Зулиа.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Опасността от малария тропика е по-голяма в джунглата на щатите Амазонас (Алто Ориноко, Атабапо, Атурес, Аутана, Манапиаре, Рио Негро), Боливар (Карони, Кедено, Ел Калао, Херес, Гран Сабана, Пиар, Раул Леони, Роцио, Сифонтес и Сукре).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(8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%)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(1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%)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CHL, MAL, MEF (В)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MAL,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изброените рискови райони.</w:t>
            </w:r>
          </w:p>
        </w:tc>
      </w:tr>
      <w:tr w:rsidR="00944A02" w:rsidRPr="00092637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Гватемала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местности под 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500м. целогодишно. Висок е рискът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заразяване с малария в  департаментите Ескуинтла и Алта Верапаз. Нисък риск съществува в Байа Верапаз, Петен, Чикуимула, Изабела, Закапа и Сучитепекуез.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CHL, MAL, MEF (В) - в рисковите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Гвиана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Повсеместно във вътрешността на страната, като най-висок риск се наблюдава в региони 1, 7, 8, 9 и 10, среден риск в региони 2 и 3 и много нисък в 4, 5 и 6. Спорадични случаи се наблюдават в гъсто населените места от крайбрежните райони.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45%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51%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Смесени инфекции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4%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MAL,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DOX, DOX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078F8">
              <w:rPr>
                <w:rFonts w:ascii="Times New Roman" w:hAnsi="Times New Roman"/>
                <w:lang w:val="bg-BG"/>
              </w:rPr>
              <w:t>Доминиканска Република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 има предимно в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западните провинции на Дажабон, Елиас Пина и Сан Хуан.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останалите райони рискът е малък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незначителен. Няма данни за резистентност на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към някои от антималарийните препарати.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(В) - в рискови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райони.</w:t>
            </w:r>
          </w:p>
        </w:tc>
      </w:tr>
      <w:tr w:rsidR="00944A02" w:rsidRPr="00FE7265" w:rsidTr="00C078F8">
        <w:trPr>
          <w:trHeight w:val="1312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Еквадор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Целогодишно има риск в районите под 1500м, ка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то съществува и умерена вероятност от трансмисия и в крайбрежните провинции. Висок риск от P.falciparum малария същестува в провинция Есмералда. Не съществува риск в Гуайакуил и Кито и градовете в региона на Андите.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14%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86%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CHL, 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DOX (С)  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рисковите  райони.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11. 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Колумбия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Висок риск същектвува в департаментите Антинокия, Боливар, Каука, Чоко, Кордоба, Гуаджира, Нарино и Рисарлада. По-нисък риск съществува в общините Амазонас, Чакета, Гуавайре, Гуайниа, Мета, Путумайо, Ваупес и Вичада. Докладвани са Chloroquine-резистентни щамове на P. falciparum     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27%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 7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DOX (С)  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рисковите  райони.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Коста Рика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Нисък риск от заразяване с P.vivax има в провинциите на Лимон и основно в кантон Матина. Несъществен или никакъв риск от заразяване се наблюдава в другите кантони на страната.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Предпазни мерки за ухапвания от комари (А)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Мексико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някои селски райони, които рядко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посещават от туристи. Нисък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риск от заразяване има в щата Чиапас и много нисък в областите Чихуахуа, Дуранго, Найярит, Куантана Роо и Синалоа.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Предпазване от ухапване от комари (А)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Никарагуа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 от малария, предимно от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vivax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съществува целогодишно. Нисък риск има в редица общини основно в Регион Автонома Атлантико Норте. Спорадична трансмисия се регистрира в Боака, Чинангеа, Жинотека, Леон и Матагалпа. Автохтонни случаи са докладвани и от други райони в централните и западните департаменти, но рискът в тези райоини е много малък.  Няма установена хлорокинова резистентност на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P.falciparum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  92%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(В)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в рискови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15..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Панама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 съществува целогодишно в провинциите, намиращи се по протежението на атлантическото крайбрежие и по границата с Колумбия и Коста Рика:  Бокас дел Торо, Чирихуй, Колон, Дариен, Нгобе Бугле, Панама и Верагвас. В градът Панама и Канал Зоне, както и в другите провинции, рискът е минимален.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1%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 - 99%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провинция Дариен и Сан Блас.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MAL, DOX (С)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източните ендемични райони.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CHL, MAL, MEF (В)  в рискови райони.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16.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Парагвай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Среден интензитет на трансмисия в определени общини на департаментите Алто Парана и Каагуазу. В останалите 14 департамента рискът е незначителен или няма такъв.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предпазни мрежи срещу комари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 в рисковите райони</w:t>
            </w:r>
          </w:p>
        </w:tc>
      </w:tr>
      <w:tr w:rsidR="00944A02" w:rsidRPr="00FE7265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17.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Перу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Рискът е целогодишен в селските райони под 2000м надморска височина. 32 са областите с висок риск и те са концентрирани в окръзите Аякучо, Куско, Юнин и Лорето. Лорето е най-рисковият район с 98% от случите на тропическа малария, както и другите департаменти, разположени покрай Амазония /вкл. 18 пристанищни селища/.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 16%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84%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MAL, DOX (С)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окръг Лорето.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CHL, MAL, MEF (В)  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18. 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Салвадор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El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Salvador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Много нисък риск от заразяване в провинция Санта Ана и в селските райони, в които има миграция от Гватемала. Спорадични случаи на вивакс малария, обаче са докладвани и от други части на страната.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предпазни мрежи срещу комари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(А)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19.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Суринам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Рискът е голям във вътрешността на страната, извън кайбрежната саванна област, като е най-голям по протежение на източната граница и в районите със златни мини. В град Парамарибо и останалите седем крайбрежни района, рискът е малък до незначителен.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55%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Смесена инф.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078F8">
              <w:rPr>
                <w:rFonts w:ascii="Times New Roman" w:hAnsi="Times New Roman"/>
                <w:lang w:val="bg-BG"/>
              </w:rPr>
              <w:t>намалена чувствителност към хинин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MAL, DOX (С)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рисковите региони.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20.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Френска Гвиана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Висок риск в девет общини по границата с Бразилия (долината на река Ойяпоке) и до границата със Суринам (долината на река Марони). В други 13 общини рискът е нисък до незначителен. В районите с миграция от Бразилия се съобщава за щамове на P.falciparum с множествена лекарствена резистентност.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P.vivax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CHL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MEF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DOX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в рисковите региони.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21.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Хаити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Рискът от малария е целогодишен в цялата страна, включително крайбрежните и граничните зони. Много нисък риск има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 в градските райони на Порт о Пренс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CHL, MAL, MEF (В)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 рисковите райони.</w:t>
            </w:r>
          </w:p>
        </w:tc>
      </w:tr>
      <w:tr w:rsidR="00944A02" w:rsidRPr="004B341D" w:rsidTr="00C078F8"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22.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Хондурас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Висок риск от малария терциана (P.vivax) има в провинциите Грацияс а Диос и среден в Атлантида, Ел Парайсо, Оланчо и Йоро. Рискът от Р</w:t>
            </w:r>
            <w:r w:rsidRPr="00C07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най-висок в Грацияс а Диос и умерен в Колон, Йоро и Оланчо.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P.falciparum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20%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P.vivax </w:t>
            </w:r>
          </w:p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79%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CHL, MAL, MEF (В) - в рисковите райони.</w:t>
            </w:r>
          </w:p>
        </w:tc>
      </w:tr>
      <w:tr w:rsidR="00944A02" w:rsidRPr="004B341D" w:rsidTr="00C078F8">
        <w:trPr>
          <w:trHeight w:val="988"/>
        </w:trPr>
        <w:tc>
          <w:tcPr>
            <w:tcW w:w="567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23.</w:t>
            </w:r>
          </w:p>
        </w:tc>
        <w:tc>
          <w:tcPr>
            <w:tcW w:w="170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Ямайка</w:t>
            </w:r>
          </w:p>
        </w:tc>
        <w:tc>
          <w:tcPr>
            <w:tcW w:w="8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1-12</w:t>
            </w:r>
          </w:p>
        </w:tc>
        <w:tc>
          <w:tcPr>
            <w:tcW w:w="6095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Много малък риск, но включително и от 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falciparum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 в районите на Кингстъ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 и Храма на Свети Андрю. </w:t>
            </w:r>
          </w:p>
        </w:tc>
        <w:tc>
          <w:tcPr>
            <w:tcW w:w="1559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P.falciparum</w:t>
            </w:r>
          </w:p>
        </w:tc>
        <w:tc>
          <w:tcPr>
            <w:tcW w:w="1418" w:type="dxa"/>
          </w:tcPr>
          <w:p w:rsidR="00944A02" w:rsidRPr="00C078F8" w:rsidRDefault="00944A02" w:rsidP="00C07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</w:tcPr>
          <w:p w:rsidR="00944A02" w:rsidRPr="00C078F8" w:rsidRDefault="00944A02" w:rsidP="00C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Репеленти и защитни мрежи срещу комарите 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C078F8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Pr="004B341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6"/>
          <w:szCs w:val="16"/>
          <w:lang w:val="bg-BG"/>
        </w:rPr>
      </w:pP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 w:rsidRPr="00C078F8">
        <w:rPr>
          <w:rFonts w:ascii="Times New Roman" w:hAnsi="Times New Roman"/>
          <w:sz w:val="18"/>
          <w:szCs w:val="18"/>
          <w:lang w:val="bg-BG"/>
        </w:rPr>
        <w:t xml:space="preserve">ИЗПОЛЗВАНИ СЪКРАЩЕНИЯ:                     </w:t>
      </w:r>
      <w:r w:rsidRPr="00C078F8">
        <w:rPr>
          <w:rFonts w:ascii="Times New Roman" w:hAnsi="Times New Roman"/>
          <w:sz w:val="18"/>
          <w:szCs w:val="18"/>
          <w:lang w:val="en-US"/>
        </w:rPr>
        <w:t>MEF</w:t>
      </w:r>
      <w:r>
        <w:rPr>
          <w:rFonts w:ascii="Times New Roman" w:hAnsi="Times New Roman"/>
          <w:sz w:val="18"/>
          <w:szCs w:val="18"/>
          <w:lang w:val="bg-BG"/>
        </w:rPr>
        <w:t>: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      </w:t>
      </w:r>
      <w:r w:rsidRPr="00C078F8">
        <w:rPr>
          <w:rFonts w:ascii="Times New Roman" w:hAnsi="Times New Roman"/>
          <w:sz w:val="18"/>
          <w:szCs w:val="18"/>
          <w:lang w:val="en-US"/>
        </w:rPr>
        <w:t>MEFLOQUINE</w:t>
      </w: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 w:rsidRPr="00C078F8">
        <w:rPr>
          <w:rFonts w:ascii="Times New Roman" w:hAnsi="Times New Roman"/>
          <w:sz w:val="18"/>
          <w:szCs w:val="18"/>
          <w:lang w:val="bg-BG"/>
        </w:rPr>
        <w:t xml:space="preserve">                                                                              </w:t>
      </w:r>
      <w:r w:rsidRPr="00C078F8">
        <w:rPr>
          <w:rFonts w:ascii="Times New Roman" w:hAnsi="Times New Roman"/>
          <w:sz w:val="18"/>
          <w:szCs w:val="18"/>
          <w:lang w:val="en-US"/>
        </w:rPr>
        <w:t>CHL</w:t>
      </w:r>
      <w:r>
        <w:rPr>
          <w:rFonts w:ascii="Times New Roman" w:hAnsi="Times New Roman"/>
          <w:sz w:val="18"/>
          <w:szCs w:val="18"/>
          <w:lang w:val="bg-BG"/>
        </w:rPr>
        <w:t>: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      </w:t>
      </w:r>
      <w:r w:rsidRPr="00C078F8">
        <w:rPr>
          <w:rFonts w:ascii="Times New Roman" w:hAnsi="Times New Roman"/>
          <w:sz w:val="18"/>
          <w:szCs w:val="18"/>
          <w:lang w:val="en-US"/>
        </w:rPr>
        <w:t>CHLOROQUINE</w:t>
      </w: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sz w:val="18"/>
          <w:szCs w:val="18"/>
          <w:lang w:val="bg-BG"/>
        </w:rPr>
        <w:t xml:space="preserve">                                                                              </w:t>
      </w:r>
      <w:r w:rsidRPr="00C078F8">
        <w:rPr>
          <w:rFonts w:ascii="Times New Roman" w:hAnsi="Times New Roman"/>
          <w:sz w:val="18"/>
          <w:szCs w:val="18"/>
          <w:lang w:val="bg-BG"/>
        </w:rPr>
        <w:t>Р</w:t>
      </w:r>
      <w:r>
        <w:rPr>
          <w:rFonts w:ascii="Times New Roman" w:hAnsi="Times New Roman"/>
          <w:sz w:val="18"/>
          <w:szCs w:val="18"/>
          <w:lang w:val="bg-BG"/>
        </w:rPr>
        <w:t>: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          </w:t>
      </w:r>
      <w:r>
        <w:rPr>
          <w:rFonts w:ascii="Times New Roman" w:hAnsi="Times New Roman"/>
          <w:sz w:val="18"/>
          <w:szCs w:val="18"/>
          <w:lang w:val="bg-BG"/>
        </w:rPr>
        <w:t xml:space="preserve">  </w:t>
      </w:r>
      <w:r w:rsidRPr="00C078F8">
        <w:rPr>
          <w:rFonts w:ascii="Times New Roman" w:hAnsi="Times New Roman"/>
          <w:sz w:val="18"/>
          <w:szCs w:val="18"/>
          <w:lang w:val="en-US"/>
        </w:rPr>
        <w:t>PROGUANIL</w:t>
      </w: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sz w:val="18"/>
          <w:szCs w:val="18"/>
          <w:lang w:val="bg-BG"/>
        </w:rPr>
        <w:t xml:space="preserve">                                                                              </w:t>
      </w:r>
      <w:r w:rsidRPr="00C078F8">
        <w:rPr>
          <w:rFonts w:ascii="Times New Roman" w:hAnsi="Times New Roman"/>
          <w:sz w:val="18"/>
          <w:szCs w:val="18"/>
          <w:lang w:val="en-US"/>
        </w:rPr>
        <w:t>DOX</w:t>
      </w:r>
      <w:r>
        <w:rPr>
          <w:rFonts w:ascii="Times New Roman" w:hAnsi="Times New Roman"/>
          <w:sz w:val="18"/>
          <w:szCs w:val="18"/>
          <w:lang w:val="bg-BG"/>
        </w:rPr>
        <w:t xml:space="preserve">:      </w:t>
      </w:r>
      <w:r w:rsidRPr="00C078F8">
        <w:rPr>
          <w:rFonts w:ascii="Times New Roman" w:hAnsi="Times New Roman"/>
          <w:sz w:val="18"/>
          <w:szCs w:val="18"/>
          <w:lang w:val="en-US"/>
        </w:rPr>
        <w:t>DOXYCYCLINE</w:t>
      </w: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sz w:val="18"/>
          <w:szCs w:val="18"/>
          <w:lang w:val="bg-BG"/>
        </w:rPr>
        <w:t xml:space="preserve">                                                                              </w:t>
      </w:r>
      <w:r w:rsidRPr="00C078F8">
        <w:rPr>
          <w:rFonts w:ascii="Times New Roman" w:hAnsi="Times New Roman"/>
          <w:sz w:val="18"/>
          <w:szCs w:val="18"/>
          <w:lang w:val="en-US"/>
        </w:rPr>
        <w:t>SP</w:t>
      </w:r>
      <w:r>
        <w:rPr>
          <w:rFonts w:ascii="Times New Roman" w:hAnsi="Times New Roman"/>
          <w:sz w:val="18"/>
          <w:szCs w:val="18"/>
          <w:lang w:val="bg-BG"/>
        </w:rPr>
        <w:t xml:space="preserve">:          </w:t>
      </w:r>
      <w:r w:rsidRPr="00C078F8">
        <w:rPr>
          <w:rFonts w:ascii="Times New Roman" w:hAnsi="Times New Roman"/>
          <w:sz w:val="18"/>
          <w:szCs w:val="18"/>
          <w:lang w:val="en-US"/>
        </w:rPr>
        <w:t>SULFADOXINE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- </w:t>
      </w:r>
      <w:r w:rsidRPr="00C078F8">
        <w:rPr>
          <w:rFonts w:ascii="Times New Roman" w:hAnsi="Times New Roman"/>
          <w:sz w:val="18"/>
          <w:szCs w:val="18"/>
          <w:lang w:val="en-US"/>
        </w:rPr>
        <w:t>PYRIMETHAMINE</w:t>
      </w:r>
    </w:p>
    <w:p w:rsidR="00944A02" w:rsidRPr="00C078F8" w:rsidRDefault="00944A02" w:rsidP="00C078F8">
      <w:pPr>
        <w:spacing w:after="0" w:line="240" w:lineRule="auto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sz w:val="18"/>
          <w:szCs w:val="18"/>
          <w:lang w:val="bg-BG"/>
        </w:rPr>
        <w:t xml:space="preserve">                                                                             </w:t>
      </w:r>
      <w:r w:rsidRPr="00C078F8">
        <w:rPr>
          <w:rFonts w:ascii="Times New Roman" w:hAnsi="Times New Roman"/>
          <w:sz w:val="18"/>
          <w:szCs w:val="18"/>
          <w:lang w:val="en-US"/>
        </w:rPr>
        <w:t>MAL</w:t>
      </w:r>
      <w:r>
        <w:rPr>
          <w:rFonts w:ascii="Times New Roman" w:hAnsi="Times New Roman"/>
          <w:sz w:val="18"/>
          <w:szCs w:val="18"/>
          <w:lang w:val="bg-BG"/>
        </w:rPr>
        <w:t>: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     </w:t>
      </w:r>
      <w:r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C078F8">
        <w:rPr>
          <w:rFonts w:ascii="Times New Roman" w:hAnsi="Times New Roman"/>
          <w:sz w:val="18"/>
          <w:szCs w:val="18"/>
          <w:lang w:val="en-US"/>
        </w:rPr>
        <w:t>MALARONE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(</w:t>
      </w:r>
      <w:r w:rsidRPr="00C078F8">
        <w:rPr>
          <w:rFonts w:ascii="Times New Roman" w:hAnsi="Times New Roman"/>
          <w:sz w:val="18"/>
          <w:szCs w:val="18"/>
          <w:lang w:val="en-US"/>
        </w:rPr>
        <w:t>A</w:t>
      </w:r>
      <w:r w:rsidRPr="00C078F8">
        <w:rPr>
          <w:rFonts w:ascii="Times New Roman" w:hAnsi="Times New Roman"/>
          <w:sz w:val="18"/>
          <w:szCs w:val="18"/>
          <w:lang w:val="bg-BG"/>
        </w:rPr>
        <w:t>Т</w:t>
      </w:r>
      <w:r w:rsidRPr="00C078F8">
        <w:rPr>
          <w:rFonts w:ascii="Times New Roman" w:hAnsi="Times New Roman"/>
          <w:sz w:val="18"/>
          <w:szCs w:val="18"/>
          <w:lang w:val="en-US"/>
        </w:rPr>
        <w:t>OVAQUONE</w:t>
      </w:r>
      <w:r w:rsidRPr="00C078F8">
        <w:rPr>
          <w:rFonts w:ascii="Times New Roman" w:hAnsi="Times New Roman"/>
          <w:sz w:val="18"/>
          <w:szCs w:val="18"/>
          <w:lang w:val="bg-BG"/>
        </w:rPr>
        <w:t xml:space="preserve"> + </w:t>
      </w:r>
      <w:r w:rsidRPr="00C078F8">
        <w:rPr>
          <w:rFonts w:ascii="Times New Roman" w:hAnsi="Times New Roman"/>
          <w:sz w:val="18"/>
          <w:szCs w:val="18"/>
          <w:lang w:val="en-US"/>
        </w:rPr>
        <w:t>PROGUANIL</w:t>
      </w:r>
      <w:r w:rsidRPr="00C078F8">
        <w:rPr>
          <w:rFonts w:ascii="Times New Roman" w:hAnsi="Times New Roman"/>
          <w:sz w:val="18"/>
          <w:szCs w:val="18"/>
          <w:lang w:val="bg-BG"/>
        </w:rPr>
        <w:t>)</w:t>
      </w:r>
    </w:p>
    <w:p w:rsidR="00944A02" w:rsidRDefault="00944A02" w:rsidP="00E028F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sectPr w:rsidR="00944A02" w:rsidSect="00CA58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C3B"/>
    <w:multiLevelType w:val="hybridMultilevel"/>
    <w:tmpl w:val="5DA4F832"/>
    <w:lvl w:ilvl="0" w:tplc="9B4AE6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157D3C"/>
    <w:multiLevelType w:val="hybridMultilevel"/>
    <w:tmpl w:val="DE0E6248"/>
    <w:lvl w:ilvl="0" w:tplc="7AB2A11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96DD8"/>
    <w:multiLevelType w:val="hybridMultilevel"/>
    <w:tmpl w:val="86FCF5B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B5405"/>
    <w:multiLevelType w:val="multilevel"/>
    <w:tmpl w:val="13B8BD42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3D9070C8"/>
    <w:multiLevelType w:val="multilevel"/>
    <w:tmpl w:val="D31083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FE53F78"/>
    <w:multiLevelType w:val="hybridMultilevel"/>
    <w:tmpl w:val="A6C2FCFA"/>
    <w:lvl w:ilvl="0" w:tplc="7D3CE03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E2741"/>
    <w:multiLevelType w:val="hybridMultilevel"/>
    <w:tmpl w:val="45FC305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843"/>
    <w:rsid w:val="000268D6"/>
    <w:rsid w:val="00092637"/>
    <w:rsid w:val="001850E9"/>
    <w:rsid w:val="0018514B"/>
    <w:rsid w:val="00241F78"/>
    <w:rsid w:val="002C6143"/>
    <w:rsid w:val="003A3AB8"/>
    <w:rsid w:val="004358B4"/>
    <w:rsid w:val="004B341D"/>
    <w:rsid w:val="004D5EB8"/>
    <w:rsid w:val="004F400E"/>
    <w:rsid w:val="00522045"/>
    <w:rsid w:val="0053404A"/>
    <w:rsid w:val="00633206"/>
    <w:rsid w:val="006C5B2F"/>
    <w:rsid w:val="0075014D"/>
    <w:rsid w:val="00944A02"/>
    <w:rsid w:val="00A17CC0"/>
    <w:rsid w:val="00B04960"/>
    <w:rsid w:val="00B37B06"/>
    <w:rsid w:val="00BB2090"/>
    <w:rsid w:val="00C078F8"/>
    <w:rsid w:val="00C23DD3"/>
    <w:rsid w:val="00CA5843"/>
    <w:rsid w:val="00DF1303"/>
    <w:rsid w:val="00E028F9"/>
    <w:rsid w:val="00E138C8"/>
    <w:rsid w:val="00E91FD5"/>
    <w:rsid w:val="00FC6900"/>
    <w:rsid w:val="00FE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C0"/>
    <w:pPr>
      <w:spacing w:after="200" w:line="276" w:lineRule="auto"/>
    </w:pPr>
    <w:rPr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78F8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u w:val="single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78F8"/>
    <w:rPr>
      <w:rFonts w:ascii="Times New Roman" w:hAnsi="Times New Roman" w:cs="Times New Roman"/>
      <w:sz w:val="20"/>
      <w:szCs w:val="20"/>
      <w:u w:val="single"/>
      <w:lang w:val="bg-BG"/>
    </w:rPr>
  </w:style>
  <w:style w:type="table" w:styleId="TableGrid">
    <w:name w:val="Table Grid"/>
    <w:basedOn w:val="TableNormal"/>
    <w:uiPriority w:val="99"/>
    <w:rsid w:val="00CA58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CA5843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uiPriority w:val="99"/>
    <w:rsid w:val="00C078F8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078F8"/>
    <w:rPr>
      <w:rFonts w:ascii="Times New Roman" w:hAnsi="Times New Roman" w:cs="Times New Roman"/>
      <w:sz w:val="20"/>
      <w:szCs w:val="20"/>
      <w:lang w:val="bg-BG"/>
    </w:rPr>
  </w:style>
  <w:style w:type="paragraph" w:styleId="BodyText2">
    <w:name w:val="Body Text 2"/>
    <w:basedOn w:val="Normal"/>
    <w:link w:val="BodyText2Char"/>
    <w:uiPriority w:val="99"/>
    <w:rsid w:val="00C078F8"/>
    <w:pPr>
      <w:spacing w:after="0" w:line="240" w:lineRule="auto"/>
    </w:pPr>
    <w:rPr>
      <w:rFonts w:ascii="Times New Roman" w:eastAsia="Times New Roman" w:hAnsi="Times New Roman"/>
      <w:sz w:val="24"/>
      <w:szCs w:val="20"/>
      <w:u w:val="single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078F8"/>
    <w:rPr>
      <w:rFonts w:ascii="Times New Roman" w:hAnsi="Times New Roman" w:cs="Times New Roman"/>
      <w:sz w:val="20"/>
      <w:szCs w:val="20"/>
      <w:u w:val="single"/>
      <w:lang w:val="bg-BG"/>
    </w:rPr>
  </w:style>
  <w:style w:type="paragraph" w:styleId="Header">
    <w:name w:val="header"/>
    <w:basedOn w:val="Normal"/>
    <w:link w:val="HeaderChar"/>
    <w:uiPriority w:val="99"/>
    <w:rsid w:val="00C078F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bg-BG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78F8"/>
    <w:rPr>
      <w:rFonts w:ascii="Times New Roman" w:hAnsi="Times New Roman" w:cs="Times New Roman"/>
      <w:sz w:val="20"/>
      <w:szCs w:val="20"/>
      <w:lang w:val="bg-BG"/>
    </w:rPr>
  </w:style>
  <w:style w:type="character" w:styleId="PageNumber">
    <w:name w:val="page number"/>
    <w:basedOn w:val="DefaultParagraphFont"/>
    <w:uiPriority w:val="99"/>
    <w:rsid w:val="00C078F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78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bg-BG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078F8"/>
    <w:rPr>
      <w:rFonts w:ascii="Times New Roman" w:hAnsi="Times New Roman" w:cs="Times New Roman"/>
      <w:sz w:val="20"/>
      <w:szCs w:val="20"/>
      <w:lang w:val="bg-BG"/>
    </w:rPr>
  </w:style>
  <w:style w:type="paragraph" w:styleId="ListParagraph">
    <w:name w:val="List Paragraph"/>
    <w:basedOn w:val="Normal"/>
    <w:uiPriority w:val="99"/>
    <w:qFormat/>
    <w:rsid w:val="00B37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18</Pages>
  <Words>4165</Words>
  <Characters>23744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Класификация на риска от малария и вид на превантивните мерки (по СЗО 2015)</dc:title>
  <dc:subject/>
  <dc:creator>Harizanow</dc:creator>
  <cp:keywords/>
  <dc:description/>
  <cp:lastModifiedBy>211106-2</cp:lastModifiedBy>
  <cp:revision>5</cp:revision>
  <dcterms:created xsi:type="dcterms:W3CDTF">2016-03-21T12:34:00Z</dcterms:created>
  <dcterms:modified xsi:type="dcterms:W3CDTF">2016-03-22T08:59:00Z</dcterms:modified>
</cp:coreProperties>
</file>